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ind w:left="0"/>
        <w:jc w:val="center"/>
        <w:rPr>
          <w:rFonts w:ascii="宋体" w:hAnsi="宋体" w:eastAsia="宋体" w:cs="宋体"/>
          <w:sz w:val="44"/>
          <w:szCs w:val="44"/>
        </w:rPr>
      </w:pPr>
    </w:p>
    <w:p>
      <w:pPr>
        <w:pStyle w:val="2"/>
        <w:spacing w:line="360" w:lineRule="auto"/>
        <w:ind w:left="0"/>
        <w:jc w:val="center"/>
        <w:rPr>
          <w:rFonts w:ascii="宋体" w:hAnsi="宋体" w:eastAsia="宋体" w:cs="宋体"/>
          <w:sz w:val="44"/>
          <w:szCs w:val="44"/>
        </w:rPr>
      </w:pPr>
      <w:r>
        <w:rPr>
          <w:rFonts w:ascii="宋体" w:hAnsi="宋体" w:eastAsia="宋体" w:cs="宋体"/>
          <w:sz w:val="44"/>
          <w:szCs w:val="44"/>
        </w:rPr>
        <w:t>2021</w:t>
      </w:r>
      <w:r>
        <w:rPr>
          <w:rFonts w:hint="eastAsia" w:ascii="宋体" w:hAnsi="宋体" w:eastAsia="宋体" w:cs="宋体"/>
          <w:sz w:val="44"/>
          <w:szCs w:val="44"/>
        </w:rPr>
        <w:t>年内蒙古自治区高等职业院校技能</w:t>
      </w:r>
    </w:p>
    <w:p>
      <w:pPr>
        <w:pStyle w:val="2"/>
        <w:spacing w:line="360" w:lineRule="auto"/>
        <w:ind w:left="0"/>
        <w:jc w:val="center"/>
        <w:rPr>
          <w:rFonts w:ascii="宋体" w:hAnsi="宋体" w:eastAsia="宋体" w:cs="宋体"/>
          <w:sz w:val="44"/>
          <w:szCs w:val="44"/>
        </w:rPr>
      </w:pPr>
      <w:r>
        <w:rPr>
          <w:rFonts w:hint="eastAsia" w:ascii="宋体" w:hAnsi="宋体" w:eastAsia="宋体" w:cs="宋体"/>
          <w:sz w:val="44"/>
          <w:szCs w:val="44"/>
        </w:rPr>
        <w:t>大赛“农产品质量安全检测”赛项规程</w:t>
      </w:r>
    </w:p>
    <w:p>
      <w:pPr>
        <w:pStyle w:val="3"/>
        <w:spacing w:before="54" w:line="360" w:lineRule="auto"/>
        <w:ind w:left="0"/>
        <w:rPr>
          <w:rFonts w:ascii="黑体"/>
          <w:sz w:val="20"/>
        </w:rPr>
      </w:pPr>
      <w:r>
        <w:rPr>
          <w:rFonts w:hint="eastAsia" w:ascii="黑体" w:eastAsia="黑体"/>
        </w:rPr>
        <w:t>一、赛项名称</w:t>
      </w:r>
    </w:p>
    <w:p>
      <w:pPr>
        <w:pStyle w:val="4"/>
        <w:spacing w:before="1" w:line="360" w:lineRule="auto"/>
        <w:ind w:left="763"/>
        <w:rPr>
          <w:sz w:val="20"/>
        </w:rPr>
      </w:pPr>
      <w:r>
        <w:rPr>
          <w:rFonts w:hint="eastAsia"/>
        </w:rPr>
        <w:t>赛项编号：</w:t>
      </w:r>
      <w:r>
        <w:t>GZ-2021001</w:t>
      </w:r>
    </w:p>
    <w:p>
      <w:pPr>
        <w:pStyle w:val="4"/>
        <w:spacing w:before="1" w:line="360" w:lineRule="auto"/>
        <w:ind w:left="777"/>
        <w:rPr>
          <w:sz w:val="20"/>
        </w:rPr>
      </w:pPr>
      <w:r>
        <w:rPr>
          <w:rFonts w:hint="eastAsia"/>
        </w:rPr>
        <w:t>赛项名称：农产品质量安全检测</w:t>
      </w:r>
    </w:p>
    <w:p>
      <w:pPr>
        <w:pStyle w:val="4"/>
        <w:spacing w:before="1" w:line="360" w:lineRule="auto"/>
        <w:ind w:left="777" w:right="643"/>
      </w:pPr>
      <w:r>
        <w:rPr>
          <w:rFonts w:hint="eastAsia"/>
        </w:rPr>
        <w:t>英文名称：</w:t>
      </w:r>
      <w:r>
        <w:t xml:space="preserve">Quality and Safety Test of Agricultural Products </w:t>
      </w:r>
    </w:p>
    <w:p>
      <w:pPr>
        <w:pStyle w:val="4"/>
        <w:spacing w:before="1" w:line="360" w:lineRule="auto"/>
        <w:ind w:left="777" w:right="643"/>
      </w:pPr>
      <w:r>
        <w:rPr>
          <w:rFonts w:hint="eastAsia"/>
        </w:rPr>
        <w:t>赛项组别：高职学生组</w:t>
      </w:r>
    </w:p>
    <w:p>
      <w:pPr>
        <w:pStyle w:val="4"/>
        <w:spacing w:line="360" w:lineRule="auto"/>
        <w:ind w:left="777"/>
        <w:rPr>
          <w:sz w:val="20"/>
        </w:rPr>
      </w:pPr>
      <w:r>
        <w:rPr>
          <w:rFonts w:hint="eastAsia"/>
        </w:rPr>
        <w:t>赛项归属产业：农林牧渔</w:t>
      </w:r>
    </w:p>
    <w:p>
      <w:pPr>
        <w:pStyle w:val="3"/>
        <w:spacing w:before="1" w:line="360" w:lineRule="auto"/>
        <w:ind w:left="0"/>
        <w:rPr>
          <w:rFonts w:ascii="黑体"/>
          <w:sz w:val="20"/>
        </w:rPr>
      </w:pPr>
      <w:r>
        <w:rPr>
          <w:rFonts w:hint="eastAsia" w:ascii="黑体" w:eastAsia="黑体"/>
        </w:rPr>
        <w:t>二、竞赛目的</w:t>
      </w:r>
    </w:p>
    <w:p>
      <w:pPr>
        <w:pStyle w:val="4"/>
        <w:spacing w:before="1" w:line="360" w:lineRule="auto"/>
        <w:ind w:left="0" w:right="253" w:firstLine="560" w:firstLineChars="200"/>
        <w:jc w:val="both"/>
      </w:pPr>
      <w:r>
        <w:rPr>
          <w:rFonts w:hint="eastAsia"/>
        </w:rPr>
        <w:t>通过比赛推动全国高职院校农产品（食品）质量安全检测相关专业的建设与课程改革，促进校企合作与产业发展。本赛项通过考查参赛选手利用现代化大型分析仪器（气相色谱、原子吸收分光光度计）进行农药残留、重金属污染的检测能力。通过对参赛选手综合素质的评价，可达到检验高职院校在农产品（食品）质量安全检测人才培养水平的目的，也可以为农产品（食品）质量安全检测机构、企业检验部门的一线检测人员提供人才储备。同时，本赛项通过以真实职业岗位任务为基础的竞赛内容的实施，对提高学生职业技能操作水平、普及农产品质量安全知识、强化学生社会责任意识都具有重要意义。通过</w:t>
      </w:r>
      <w:r>
        <w:t xml:space="preserve"> 2 </w:t>
      </w:r>
      <w:r>
        <w:rPr>
          <w:rFonts w:hint="eastAsia"/>
        </w:rPr>
        <w:t>个项目的技能比赛，可达到以下目的：</w:t>
      </w:r>
    </w:p>
    <w:p>
      <w:pPr>
        <w:pStyle w:val="4"/>
        <w:spacing w:before="61" w:line="360" w:lineRule="auto"/>
        <w:ind w:left="0" w:firstLine="560" w:firstLineChars="200"/>
      </w:pPr>
      <w:r>
        <w:t>1.</w:t>
      </w:r>
      <w:r>
        <w:rPr>
          <w:rFonts w:hint="eastAsia"/>
        </w:rPr>
        <w:t>较全面地检验和评价各高职院校食品工业类专业农产品质量安全测课程实践教学能力和水平，促进工学结合人才培养模式的改革与创新；</w:t>
      </w:r>
    </w:p>
    <w:p>
      <w:pPr>
        <w:pStyle w:val="10"/>
        <w:tabs>
          <w:tab w:val="left" w:pos="991"/>
        </w:tabs>
        <w:spacing w:line="360" w:lineRule="auto"/>
        <w:ind w:left="0" w:right="156" w:firstLine="560" w:firstLineChars="200"/>
        <w:rPr>
          <w:sz w:val="28"/>
          <w:szCs w:val="28"/>
        </w:rPr>
      </w:pPr>
      <w:r>
        <w:rPr>
          <w:sz w:val="28"/>
          <w:szCs w:val="28"/>
        </w:rPr>
        <w:t>2.</w:t>
      </w:r>
      <w:r>
        <w:rPr>
          <w:rFonts w:hint="eastAsia"/>
          <w:sz w:val="28"/>
          <w:szCs w:val="28"/>
        </w:rPr>
        <w:t>通过大赛交流，促进学生专业素质和综合素质的提升，为食品行业、产业提供合格人才；</w:t>
      </w:r>
    </w:p>
    <w:p>
      <w:pPr>
        <w:pStyle w:val="10"/>
        <w:tabs>
          <w:tab w:val="left" w:pos="991"/>
        </w:tabs>
        <w:spacing w:line="360" w:lineRule="auto"/>
        <w:ind w:left="0" w:right="156" w:firstLine="548" w:firstLineChars="200"/>
        <w:rPr>
          <w:sz w:val="28"/>
        </w:rPr>
      </w:pPr>
      <w:r>
        <w:rPr>
          <w:spacing w:val="-3"/>
          <w:sz w:val="28"/>
        </w:rPr>
        <w:t>3.</w:t>
      </w:r>
      <w:r>
        <w:rPr>
          <w:rFonts w:hint="eastAsia"/>
          <w:spacing w:val="-3"/>
          <w:sz w:val="28"/>
        </w:rPr>
        <w:t>以赛促教，推动高职院校教育教学改革的深化，有效提高教学质量，</w:t>
      </w:r>
      <w:r>
        <w:rPr>
          <w:spacing w:val="-3"/>
          <w:sz w:val="28"/>
        </w:rPr>
        <w:t xml:space="preserve"> </w:t>
      </w:r>
      <w:r>
        <w:rPr>
          <w:rFonts w:hint="eastAsia"/>
          <w:spacing w:val="-2"/>
          <w:sz w:val="28"/>
        </w:rPr>
        <w:t>为培养基本功过硬、操作规范娴熟、爱岗敬业的新型高技能人才发挥引领作用；</w:t>
      </w:r>
    </w:p>
    <w:p>
      <w:pPr>
        <w:pStyle w:val="10"/>
        <w:tabs>
          <w:tab w:val="left" w:pos="991"/>
        </w:tabs>
        <w:spacing w:line="360" w:lineRule="auto"/>
        <w:ind w:left="0" w:right="255" w:firstLine="516" w:firstLineChars="200"/>
        <w:rPr>
          <w:sz w:val="28"/>
        </w:rPr>
      </w:pPr>
      <w:r>
        <w:rPr>
          <w:spacing w:val="-11"/>
          <w:sz w:val="28"/>
        </w:rPr>
        <w:t>4.</w:t>
      </w:r>
      <w:r>
        <w:rPr>
          <w:rFonts w:hint="eastAsia"/>
          <w:spacing w:val="-11"/>
          <w:sz w:val="28"/>
        </w:rPr>
        <w:t>以赛促改，通过真实项目引领及标准化操作，实现教学过程与生产过</w:t>
      </w:r>
      <w:r>
        <w:rPr>
          <w:rFonts w:hint="eastAsia"/>
          <w:spacing w:val="-5"/>
          <w:sz w:val="28"/>
        </w:rPr>
        <w:t>程的无缝对接。</w:t>
      </w:r>
    </w:p>
    <w:p>
      <w:pPr>
        <w:pStyle w:val="3"/>
        <w:spacing w:line="360" w:lineRule="auto"/>
        <w:ind w:left="0"/>
        <w:rPr>
          <w:rFonts w:ascii="黑体"/>
          <w:sz w:val="20"/>
        </w:rPr>
      </w:pPr>
      <w:r>
        <w:rPr>
          <w:rFonts w:hint="eastAsia" w:ascii="黑体" w:eastAsia="黑体"/>
        </w:rPr>
        <w:t>三、竞赛内容</w:t>
      </w:r>
    </w:p>
    <w:p>
      <w:pPr>
        <w:pStyle w:val="4"/>
        <w:spacing w:line="360" w:lineRule="auto"/>
        <w:ind w:left="0" w:firstLine="560" w:firstLineChars="200"/>
      </w:pPr>
      <w:r>
        <w:rPr>
          <w:rFonts w:hint="eastAsia"/>
        </w:rPr>
        <w:t>本赛项包括农药残留检测和重金属污染物检测</w:t>
      </w:r>
      <w:r>
        <w:t xml:space="preserve"> </w:t>
      </w:r>
      <w:r>
        <w:rPr>
          <w:rFonts w:ascii="Times New Roman" w:eastAsia="Times New Roman"/>
        </w:rPr>
        <w:t xml:space="preserve">2 </w:t>
      </w:r>
      <w:r>
        <w:rPr>
          <w:rFonts w:hint="eastAsia"/>
        </w:rPr>
        <w:t>个项目。</w:t>
      </w:r>
    </w:p>
    <w:p>
      <w:pPr>
        <w:pStyle w:val="4"/>
        <w:spacing w:line="360" w:lineRule="auto"/>
        <w:ind w:left="0" w:firstLine="548" w:firstLineChars="200"/>
        <w:rPr>
          <w:rFonts w:ascii="Times New Roman" w:hAnsi="Times New Roman"/>
        </w:rPr>
      </w:pPr>
      <w:r>
        <w:rPr>
          <w:spacing w:val="-3"/>
        </w:rPr>
        <w:t>1.</w:t>
      </w:r>
      <w:r>
        <w:rPr>
          <w:rFonts w:hint="eastAsia"/>
          <w:spacing w:val="-3"/>
        </w:rPr>
        <w:t>农药残留检测项目</w:t>
      </w:r>
      <w:r>
        <w:rPr>
          <w:rFonts w:ascii="Times New Roman" w:hAnsi="Times New Roman"/>
        </w:rPr>
        <w:t>——</w:t>
      </w:r>
      <w:r>
        <w:rPr>
          <w:rFonts w:hint="eastAsia" w:ascii="Times New Roman" w:hAnsi="Times New Roman"/>
        </w:rPr>
        <w:t>“</w:t>
      </w:r>
      <w:r>
        <w:rPr>
          <w:rFonts w:hint="eastAsia"/>
          <w:spacing w:val="-3"/>
        </w:rPr>
        <w:t>蔬菜中有机磷类农药残留检测</w:t>
      </w:r>
      <w:r>
        <w:rPr>
          <w:rFonts w:hint="eastAsia" w:ascii="Times New Roman" w:hAnsi="Times New Roman"/>
        </w:rPr>
        <w:t>”</w:t>
      </w:r>
    </w:p>
    <w:p>
      <w:pPr>
        <w:pStyle w:val="4"/>
        <w:spacing w:line="360" w:lineRule="auto"/>
        <w:ind w:left="0" w:firstLine="560" w:firstLineChars="200"/>
      </w:pPr>
      <w:r>
        <w:rPr>
          <w:rFonts w:hint="eastAsia"/>
        </w:rPr>
        <w:t>检测方法依照《蔬菜和水果有机磷、有机氯、拟除虫菊酯和氨基甲酸酯类农药多残留的测定》（</w:t>
      </w:r>
      <w:r>
        <w:rPr>
          <w:rFonts w:ascii="Times New Roman" w:eastAsia="Times New Roman"/>
        </w:rPr>
        <w:t>NY/T</w:t>
      </w:r>
      <w:r>
        <w:rPr>
          <w:rFonts w:ascii="Times New Roman"/>
        </w:rPr>
        <w:t xml:space="preserve"> </w:t>
      </w:r>
      <w:r>
        <w:rPr>
          <w:rFonts w:ascii="Times New Roman" w:eastAsia="Times New Roman"/>
        </w:rPr>
        <w:t>761-2008</w:t>
      </w:r>
      <w:r>
        <w:rPr>
          <w:rFonts w:hint="eastAsia"/>
        </w:rPr>
        <w:t>）操作。</w:t>
      </w:r>
    </w:p>
    <w:p>
      <w:pPr>
        <w:pStyle w:val="4"/>
        <w:spacing w:line="360" w:lineRule="auto"/>
        <w:ind w:left="0" w:right="253" w:firstLine="560" w:firstLineChars="200"/>
        <w:jc w:val="both"/>
      </w:pPr>
      <w:r>
        <w:rPr>
          <w:rFonts w:hint="eastAsia"/>
        </w:rPr>
        <w:t>本项目全面考察学生利用气相色谱法检测蔬菜中农药残留项目的基本操作技能及职业素养。包括样品前处理、数据处理（提供统一打印图谱，考核选手根据图谱计算检测结果的能力）、气相三维虚拟仿真操作、基础理论测试</w:t>
      </w:r>
      <w:r>
        <w:t>4</w:t>
      </w:r>
      <w:r>
        <w:rPr>
          <w:rFonts w:ascii="Times New Roman" w:eastAsia="Times New Roman"/>
        </w:rPr>
        <w:t xml:space="preserve"> </w:t>
      </w:r>
      <w:r>
        <w:rPr>
          <w:rFonts w:hint="eastAsia"/>
        </w:rPr>
        <w:t>个环节的操作技术、过程整体把握和运用的能力以及在整个实验过程中的操作文明和操作安全意识。</w:t>
      </w:r>
    </w:p>
    <w:p>
      <w:pPr>
        <w:pStyle w:val="4"/>
        <w:spacing w:line="360" w:lineRule="auto"/>
        <w:ind w:left="0" w:right="253" w:firstLine="560" w:firstLineChars="200"/>
        <w:jc w:val="both"/>
      </w:pPr>
      <w:r>
        <w:rPr>
          <w:rFonts w:hint="eastAsia"/>
        </w:rPr>
        <w:t>本项目现场操作要求参赛队员在</w:t>
      </w:r>
      <w:r>
        <w:t>150</w:t>
      </w:r>
      <w:r>
        <w:rPr>
          <w:rFonts w:hint="eastAsia"/>
        </w:rPr>
        <w:t>分钟内完成（氮吹等待时间不计时）。气相三维虚拟仿真操作时间为</w:t>
      </w:r>
      <w:r>
        <w:t>45</w:t>
      </w:r>
      <w:r>
        <w:rPr>
          <w:rFonts w:hint="eastAsia"/>
        </w:rPr>
        <w:t>分钟；数据处理时间为</w:t>
      </w:r>
      <w:r>
        <w:t>60</w:t>
      </w:r>
      <w:r>
        <w:rPr>
          <w:rFonts w:hint="eastAsia"/>
        </w:rPr>
        <w:t>分钟；基础理论测试时间为</w:t>
      </w:r>
      <w:r>
        <w:t>60</w:t>
      </w:r>
      <w:r>
        <w:rPr>
          <w:rFonts w:hint="eastAsia"/>
        </w:rPr>
        <w:t>分钟。</w:t>
      </w:r>
    </w:p>
    <w:p>
      <w:pPr>
        <w:pStyle w:val="4"/>
        <w:spacing w:line="360" w:lineRule="auto"/>
        <w:ind w:left="0" w:right="253" w:firstLine="560" w:firstLineChars="200"/>
        <w:jc w:val="both"/>
      </w:pPr>
      <w:r>
        <w:t>2.</w:t>
      </w:r>
      <w:r>
        <w:rPr>
          <w:rFonts w:hint="eastAsia"/>
        </w:rPr>
        <w:t>重金属污染物检测项目</w:t>
      </w:r>
      <w:r>
        <w:t>——</w:t>
      </w:r>
      <w:r>
        <w:rPr>
          <w:rFonts w:hint="eastAsia"/>
        </w:rPr>
        <w:t>“茶叶中重金属含量的检测”</w:t>
      </w:r>
    </w:p>
    <w:p>
      <w:pPr>
        <w:pStyle w:val="4"/>
        <w:spacing w:line="360" w:lineRule="auto"/>
        <w:ind w:left="0" w:right="253" w:firstLine="560" w:firstLineChars="200"/>
        <w:jc w:val="both"/>
      </w:pPr>
      <w:r>
        <w:rPr>
          <w:rFonts w:hint="eastAsia"/>
        </w:rPr>
        <w:t>检测方法依照《食品安全国家标准：食品中铅的测定</w:t>
      </w:r>
      <w:r>
        <w:t>—</w:t>
      </w:r>
      <w:r>
        <w:rPr>
          <w:rFonts w:hint="eastAsia"/>
        </w:rPr>
        <w:t>火焰原子吸收光谱法》（</w:t>
      </w:r>
      <w:r>
        <w:t>GB 5009.12-2017</w:t>
      </w:r>
      <w:r>
        <w:rPr>
          <w:rFonts w:hint="eastAsia"/>
        </w:rPr>
        <w:t>）操作。</w:t>
      </w:r>
    </w:p>
    <w:p>
      <w:pPr>
        <w:pStyle w:val="4"/>
        <w:spacing w:line="360" w:lineRule="auto"/>
        <w:ind w:left="0" w:right="253" w:firstLine="560" w:firstLineChars="200"/>
        <w:jc w:val="both"/>
        <w:rPr>
          <w:sz w:val="20"/>
        </w:rPr>
      </w:pPr>
      <w:r>
        <w:rPr>
          <w:rFonts w:hint="eastAsia"/>
        </w:rPr>
        <w:t>本项目全面考察学生利用原子吸收分光光度法测定茶叶中重金属含量项目的操作技术及职业素养。具体包括样品预处理、上机测量、结果数据处理、基础理论测试等</w:t>
      </w:r>
      <w:r>
        <w:t xml:space="preserve"> 4 </w:t>
      </w:r>
      <w:r>
        <w:rPr>
          <w:rFonts w:hint="eastAsia"/>
        </w:rPr>
        <w:t>个环节的操作技术、过程整体把握和运用的能力以及在整个实验过程中的操作文明和操作安全意识。</w:t>
      </w:r>
    </w:p>
    <w:p>
      <w:pPr>
        <w:pStyle w:val="4"/>
        <w:spacing w:line="360" w:lineRule="auto"/>
        <w:ind w:left="0" w:right="253" w:firstLine="560" w:firstLineChars="200"/>
        <w:jc w:val="both"/>
      </w:pPr>
      <w:r>
        <w:rPr>
          <w:rFonts w:hint="eastAsia"/>
        </w:rPr>
        <w:t>本项目现场预处理操作要求参赛队员在</w:t>
      </w:r>
      <w:r>
        <w:t>120</w:t>
      </w:r>
      <w:r>
        <w:rPr>
          <w:rFonts w:hint="eastAsia"/>
        </w:rPr>
        <w:t>分钟内完成。上机检测要求在</w:t>
      </w:r>
      <w:r>
        <w:t>30</w:t>
      </w:r>
      <w:r>
        <w:rPr>
          <w:rFonts w:hint="eastAsia"/>
        </w:rPr>
        <w:t>分钟内完成；数据处理要求在</w:t>
      </w:r>
      <w:r>
        <w:t>45</w:t>
      </w:r>
      <w:r>
        <w:rPr>
          <w:rFonts w:hint="eastAsia"/>
        </w:rPr>
        <w:t>分钟内完成。基础理论测试</w:t>
      </w:r>
      <w:r>
        <w:t>60</w:t>
      </w:r>
      <w:r>
        <w:rPr>
          <w:rFonts w:hint="eastAsia"/>
        </w:rPr>
        <w:t>分钟内完成。</w:t>
      </w:r>
    </w:p>
    <w:p>
      <w:pPr>
        <w:pStyle w:val="3"/>
        <w:spacing w:line="360" w:lineRule="auto"/>
        <w:ind w:left="0"/>
      </w:pPr>
      <w:r>
        <w:rPr>
          <w:rFonts w:hint="eastAsia" w:ascii="黑体" w:eastAsia="黑体"/>
        </w:rPr>
        <w:t>四、竞赛方式</w:t>
      </w:r>
    </w:p>
    <w:p>
      <w:pPr>
        <w:pStyle w:val="4"/>
        <w:spacing w:line="360" w:lineRule="auto"/>
        <w:ind w:left="0" w:right="253" w:firstLine="560" w:firstLineChars="200"/>
        <w:jc w:val="both"/>
      </w:pPr>
      <w:r>
        <w:rPr>
          <w:rFonts w:hint="eastAsia"/>
        </w:rPr>
        <w:t>本次竞赛为团体赛。每个参赛队由</w:t>
      </w:r>
      <w:r>
        <w:t xml:space="preserve">2 </w:t>
      </w:r>
      <w:r>
        <w:rPr>
          <w:rFonts w:hint="eastAsia"/>
        </w:rPr>
        <w:t>名参赛选手组成，每名选手分别选择一个项目进行比赛，最终成绩由二个项目分数相加总分决定。</w:t>
      </w:r>
    </w:p>
    <w:p>
      <w:pPr>
        <w:pStyle w:val="4"/>
        <w:spacing w:line="360" w:lineRule="auto"/>
        <w:ind w:left="0" w:right="253" w:firstLine="560" w:firstLineChars="200"/>
        <w:jc w:val="both"/>
      </w:pPr>
      <w:r>
        <w:rPr>
          <w:rFonts w:hint="eastAsia"/>
        </w:rPr>
        <w:t>农药残留检测项目的试样前处理过程将由参赛人员现场操作完成（过程评分）。为了考核参赛选手的图谱解读及数据处理能力，将提供统一的打印图谱，考核选手根据图谱计算准确度和精密度等数据处理及正确填写检测记录单的能力（结果评分）。开展气相三维虚拟仿真操作考核（工作站仿真软件按照国赛要求选用）（结果评分）。</w:t>
      </w:r>
    </w:p>
    <w:p>
      <w:pPr>
        <w:pStyle w:val="4"/>
        <w:spacing w:line="360" w:lineRule="auto"/>
        <w:ind w:left="0" w:right="253" w:firstLine="560" w:firstLineChars="200"/>
        <w:jc w:val="both"/>
      </w:pPr>
      <w:r>
        <w:rPr>
          <w:rFonts w:hint="eastAsia"/>
        </w:rPr>
        <w:t>重金属检测竞赛项目考察选手试样预处理（样品消解液由组委会提前准备好，样品消解不作为考核点）（过程评分）、上机测量（过程评分）、数据处理（结果评分）、基础理论测试等全部过程。</w:t>
      </w:r>
    </w:p>
    <w:p>
      <w:pPr>
        <w:pStyle w:val="3"/>
        <w:spacing w:line="360" w:lineRule="auto"/>
        <w:ind w:left="0"/>
        <w:rPr>
          <w:rFonts w:ascii="黑体" w:eastAsia="黑体"/>
        </w:rPr>
      </w:pPr>
      <w:r>
        <w:rPr>
          <w:rFonts w:hint="eastAsia" w:ascii="黑体" w:eastAsia="黑体"/>
        </w:rPr>
        <w:t>五、竞赛流程</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71"/>
        <w:gridCol w:w="1812"/>
        <w:gridCol w:w="2325"/>
        <w:gridCol w:w="32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jc w:val="center"/>
        </w:trPr>
        <w:tc>
          <w:tcPr>
            <w:tcW w:w="1971" w:type="dxa"/>
            <w:vAlign w:val="center"/>
          </w:tcPr>
          <w:p>
            <w:pPr>
              <w:pStyle w:val="11"/>
              <w:spacing w:before="51" w:line="360" w:lineRule="auto"/>
              <w:ind w:left="142" w:right="127"/>
              <w:jc w:val="center"/>
              <w:rPr>
                <w:b/>
                <w:bCs/>
                <w:sz w:val="24"/>
              </w:rPr>
            </w:pPr>
            <w:r>
              <w:rPr>
                <w:rFonts w:hint="eastAsia"/>
                <w:b/>
                <w:bCs/>
                <w:sz w:val="24"/>
              </w:rPr>
              <w:t>日期</w:t>
            </w:r>
          </w:p>
        </w:tc>
        <w:tc>
          <w:tcPr>
            <w:tcW w:w="1812" w:type="dxa"/>
            <w:vAlign w:val="center"/>
          </w:tcPr>
          <w:p>
            <w:pPr>
              <w:pStyle w:val="11"/>
              <w:spacing w:before="51" w:line="360" w:lineRule="auto"/>
              <w:ind w:left="310" w:right="296"/>
              <w:jc w:val="center"/>
              <w:rPr>
                <w:b/>
                <w:bCs/>
                <w:sz w:val="24"/>
              </w:rPr>
            </w:pPr>
            <w:r>
              <w:rPr>
                <w:rFonts w:hint="eastAsia"/>
                <w:b/>
                <w:bCs/>
                <w:sz w:val="24"/>
              </w:rPr>
              <w:t>时间</w:t>
            </w:r>
          </w:p>
        </w:tc>
        <w:tc>
          <w:tcPr>
            <w:tcW w:w="2325" w:type="dxa"/>
            <w:vAlign w:val="center"/>
          </w:tcPr>
          <w:p>
            <w:pPr>
              <w:pStyle w:val="11"/>
              <w:spacing w:before="51" w:line="360" w:lineRule="auto"/>
              <w:ind w:left="393" w:right="380"/>
              <w:jc w:val="center"/>
              <w:rPr>
                <w:b/>
                <w:bCs/>
                <w:sz w:val="24"/>
              </w:rPr>
            </w:pPr>
            <w:r>
              <w:rPr>
                <w:rFonts w:hint="eastAsia"/>
                <w:b/>
                <w:bCs/>
                <w:sz w:val="24"/>
              </w:rPr>
              <w:t>内容</w:t>
            </w:r>
          </w:p>
        </w:tc>
        <w:tc>
          <w:tcPr>
            <w:tcW w:w="3234" w:type="dxa"/>
            <w:vAlign w:val="center"/>
          </w:tcPr>
          <w:p>
            <w:pPr>
              <w:pStyle w:val="11"/>
              <w:spacing w:before="51" w:line="360" w:lineRule="auto"/>
              <w:ind w:left="328" w:right="314"/>
              <w:jc w:val="center"/>
              <w:rPr>
                <w:b/>
                <w:bCs/>
                <w:sz w:val="24"/>
              </w:rPr>
            </w:pPr>
            <w:r>
              <w:rPr>
                <w:rFonts w:hint="eastAsia"/>
                <w:b/>
                <w:bCs/>
                <w:sz w:val="24"/>
              </w:rPr>
              <w:t>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5" w:hRule="atLeast"/>
          <w:jc w:val="center"/>
        </w:trPr>
        <w:tc>
          <w:tcPr>
            <w:tcW w:w="1971" w:type="dxa"/>
            <w:vMerge w:val="restart"/>
            <w:vAlign w:val="center"/>
          </w:tcPr>
          <w:p>
            <w:pPr>
              <w:pStyle w:val="11"/>
              <w:spacing w:before="12" w:line="360" w:lineRule="auto"/>
              <w:jc w:val="center"/>
              <w:rPr>
                <w:rFonts w:ascii="Microsoft JhengHei"/>
                <w:b/>
                <w:sz w:val="33"/>
              </w:rPr>
            </w:pPr>
          </w:p>
          <w:p>
            <w:pPr>
              <w:pStyle w:val="11"/>
              <w:spacing w:line="360" w:lineRule="auto"/>
              <w:ind w:left="190"/>
              <w:jc w:val="center"/>
              <w:rPr>
                <w:sz w:val="24"/>
              </w:rPr>
            </w:pPr>
            <w:r>
              <w:rPr>
                <w:sz w:val="24"/>
              </w:rPr>
              <w:t>2021</w:t>
            </w:r>
            <w:r>
              <w:rPr>
                <w:rFonts w:hint="eastAsia"/>
                <w:sz w:val="24"/>
              </w:rPr>
              <w:t>年</w:t>
            </w:r>
            <w:r>
              <w:rPr>
                <w:sz w:val="24"/>
              </w:rPr>
              <w:t>4</w:t>
            </w:r>
            <w:r>
              <w:rPr>
                <w:rFonts w:hint="eastAsia"/>
                <w:sz w:val="24"/>
              </w:rPr>
              <w:t>月</w:t>
            </w:r>
            <w:r>
              <w:rPr>
                <w:sz w:val="24"/>
              </w:rPr>
              <w:t>28</w:t>
            </w:r>
            <w:r>
              <w:rPr>
                <w:rFonts w:hint="eastAsia"/>
                <w:sz w:val="24"/>
              </w:rPr>
              <w:t>日</w:t>
            </w:r>
          </w:p>
        </w:tc>
        <w:tc>
          <w:tcPr>
            <w:tcW w:w="1812" w:type="dxa"/>
            <w:vAlign w:val="center"/>
          </w:tcPr>
          <w:p>
            <w:pPr>
              <w:pStyle w:val="11"/>
              <w:spacing w:before="66" w:line="360" w:lineRule="auto"/>
              <w:ind w:left="314" w:right="293"/>
              <w:jc w:val="center"/>
              <w:rPr>
                <w:rFonts w:ascii="Calibri"/>
                <w:sz w:val="24"/>
              </w:rPr>
            </w:pPr>
            <w:r>
              <w:rPr>
                <w:rFonts w:ascii="Calibri"/>
                <w:sz w:val="24"/>
              </w:rPr>
              <w:t>9:00-12:00</w:t>
            </w:r>
          </w:p>
        </w:tc>
        <w:tc>
          <w:tcPr>
            <w:tcW w:w="2325" w:type="dxa"/>
            <w:vAlign w:val="center"/>
          </w:tcPr>
          <w:p>
            <w:pPr>
              <w:pStyle w:val="11"/>
              <w:spacing w:before="57" w:line="360" w:lineRule="auto"/>
              <w:ind w:left="393" w:right="380"/>
              <w:jc w:val="center"/>
              <w:rPr>
                <w:sz w:val="24"/>
              </w:rPr>
            </w:pPr>
            <w:r>
              <w:rPr>
                <w:rFonts w:hint="eastAsia"/>
                <w:sz w:val="24"/>
              </w:rPr>
              <w:t>报到</w:t>
            </w:r>
          </w:p>
        </w:tc>
        <w:tc>
          <w:tcPr>
            <w:tcW w:w="3234" w:type="dxa"/>
            <w:vAlign w:val="center"/>
          </w:tcPr>
          <w:p>
            <w:pPr>
              <w:pStyle w:val="11"/>
              <w:spacing w:line="360" w:lineRule="auto"/>
              <w:jc w:val="center"/>
              <w:rPr>
                <w:rFonts w:ascii="Times New Roman"/>
                <w:sz w:val="24"/>
              </w:rPr>
            </w:pPr>
            <w:r>
              <w:rPr>
                <w:rFonts w:hint="eastAsia" w:ascii="Times New Roman"/>
                <w:sz w:val="24"/>
              </w:rPr>
              <w:t>萨拉齐宝利来大酒店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2" w:hRule="atLeast"/>
          <w:jc w:val="center"/>
        </w:trPr>
        <w:tc>
          <w:tcPr>
            <w:tcW w:w="1971" w:type="dxa"/>
            <w:vMerge w:val="continue"/>
            <w:tcBorders>
              <w:top w:val="nil"/>
            </w:tcBorders>
            <w:vAlign w:val="center"/>
          </w:tcPr>
          <w:p>
            <w:pPr>
              <w:spacing w:line="360" w:lineRule="auto"/>
              <w:jc w:val="center"/>
              <w:rPr>
                <w:sz w:val="2"/>
                <w:szCs w:val="2"/>
              </w:rPr>
            </w:pPr>
          </w:p>
        </w:tc>
        <w:tc>
          <w:tcPr>
            <w:tcW w:w="1812" w:type="dxa"/>
            <w:vAlign w:val="center"/>
          </w:tcPr>
          <w:p>
            <w:pPr>
              <w:pStyle w:val="11"/>
              <w:spacing w:before="66" w:line="360" w:lineRule="auto"/>
              <w:ind w:left="314" w:right="293"/>
              <w:jc w:val="center"/>
              <w:rPr>
                <w:rFonts w:ascii="Calibri"/>
                <w:sz w:val="24"/>
              </w:rPr>
            </w:pPr>
            <w:r>
              <w:rPr>
                <w:rFonts w:ascii="Calibri"/>
                <w:sz w:val="24"/>
              </w:rPr>
              <w:t>15:00-15:50</w:t>
            </w:r>
          </w:p>
        </w:tc>
        <w:tc>
          <w:tcPr>
            <w:tcW w:w="2325" w:type="dxa"/>
            <w:vAlign w:val="center"/>
          </w:tcPr>
          <w:p>
            <w:pPr>
              <w:pStyle w:val="11"/>
              <w:spacing w:before="48" w:line="360" w:lineRule="auto"/>
              <w:ind w:left="393" w:right="380"/>
              <w:jc w:val="center"/>
              <w:rPr>
                <w:sz w:val="24"/>
              </w:rPr>
            </w:pPr>
            <w:r>
              <w:rPr>
                <w:rFonts w:hint="eastAsia"/>
                <w:sz w:val="24"/>
              </w:rPr>
              <w:t>开幕式</w:t>
            </w:r>
          </w:p>
        </w:tc>
        <w:tc>
          <w:tcPr>
            <w:tcW w:w="3234" w:type="dxa"/>
            <w:vAlign w:val="center"/>
          </w:tcPr>
          <w:p>
            <w:pPr>
              <w:pStyle w:val="11"/>
              <w:spacing w:before="48" w:line="360" w:lineRule="auto"/>
              <w:ind w:left="328" w:right="314"/>
              <w:jc w:val="center"/>
              <w:rPr>
                <w:sz w:val="24"/>
              </w:rPr>
            </w:pPr>
            <w:r>
              <w:rPr>
                <w:rFonts w:ascii="Times New Roman"/>
                <w:sz w:val="24"/>
              </w:rPr>
              <w:t>D108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4" w:hRule="atLeast"/>
          <w:jc w:val="center"/>
        </w:trPr>
        <w:tc>
          <w:tcPr>
            <w:tcW w:w="1971" w:type="dxa"/>
            <w:vMerge w:val="continue"/>
            <w:tcBorders>
              <w:top w:val="nil"/>
            </w:tcBorders>
            <w:vAlign w:val="center"/>
          </w:tcPr>
          <w:p>
            <w:pPr>
              <w:spacing w:line="360" w:lineRule="auto"/>
              <w:jc w:val="center"/>
              <w:rPr>
                <w:sz w:val="2"/>
                <w:szCs w:val="2"/>
              </w:rPr>
            </w:pPr>
          </w:p>
        </w:tc>
        <w:tc>
          <w:tcPr>
            <w:tcW w:w="1812" w:type="dxa"/>
            <w:vAlign w:val="center"/>
          </w:tcPr>
          <w:p>
            <w:pPr>
              <w:pStyle w:val="11"/>
              <w:spacing w:before="54" w:line="360" w:lineRule="auto"/>
              <w:ind w:left="314" w:right="296"/>
              <w:jc w:val="center"/>
              <w:rPr>
                <w:rFonts w:ascii="Calibri"/>
                <w:sz w:val="24"/>
              </w:rPr>
            </w:pPr>
            <w:r>
              <w:rPr>
                <w:rFonts w:ascii="Calibri"/>
                <w:sz w:val="24"/>
              </w:rPr>
              <w:t>16:00-16:30</w:t>
            </w:r>
          </w:p>
        </w:tc>
        <w:tc>
          <w:tcPr>
            <w:tcW w:w="2325" w:type="dxa"/>
            <w:vAlign w:val="center"/>
          </w:tcPr>
          <w:p>
            <w:pPr>
              <w:pStyle w:val="11"/>
              <w:spacing w:before="48" w:line="360" w:lineRule="auto"/>
              <w:ind w:left="393" w:right="380"/>
              <w:jc w:val="center"/>
              <w:rPr>
                <w:sz w:val="24"/>
              </w:rPr>
            </w:pPr>
            <w:r>
              <w:rPr>
                <w:rFonts w:hint="eastAsia"/>
                <w:sz w:val="24"/>
              </w:rPr>
              <w:t>领队会议</w:t>
            </w:r>
          </w:p>
        </w:tc>
        <w:tc>
          <w:tcPr>
            <w:tcW w:w="3234" w:type="dxa"/>
            <w:vAlign w:val="center"/>
          </w:tcPr>
          <w:p>
            <w:pPr>
              <w:pStyle w:val="11"/>
              <w:spacing w:before="48" w:line="360" w:lineRule="auto"/>
              <w:ind w:left="328" w:right="314"/>
              <w:jc w:val="center"/>
              <w:rPr>
                <w:sz w:val="24"/>
              </w:rPr>
            </w:pPr>
            <w:r>
              <w:rPr>
                <w:rFonts w:hint="eastAsia" w:ascii="Times New Roman"/>
                <w:sz w:val="24"/>
              </w:rPr>
              <w:t>实验楼</w:t>
            </w:r>
            <w:r>
              <w:rPr>
                <w:rFonts w:ascii="Times New Roman"/>
                <w:sz w:val="24"/>
              </w:rPr>
              <w:t>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1971" w:type="dxa"/>
            <w:vMerge w:val="continue"/>
            <w:tcBorders>
              <w:top w:val="nil"/>
            </w:tcBorders>
            <w:vAlign w:val="center"/>
          </w:tcPr>
          <w:p>
            <w:pPr>
              <w:spacing w:line="360" w:lineRule="auto"/>
              <w:jc w:val="center"/>
              <w:rPr>
                <w:sz w:val="2"/>
                <w:szCs w:val="2"/>
              </w:rPr>
            </w:pPr>
          </w:p>
        </w:tc>
        <w:tc>
          <w:tcPr>
            <w:tcW w:w="1812" w:type="dxa"/>
            <w:vAlign w:val="center"/>
          </w:tcPr>
          <w:p>
            <w:pPr>
              <w:pStyle w:val="11"/>
              <w:spacing w:before="54" w:line="360" w:lineRule="auto"/>
              <w:ind w:left="314" w:right="296"/>
              <w:jc w:val="center"/>
              <w:rPr>
                <w:rFonts w:ascii="Calibri"/>
                <w:sz w:val="24"/>
              </w:rPr>
            </w:pPr>
            <w:r>
              <w:rPr>
                <w:rFonts w:ascii="Calibri"/>
                <w:sz w:val="24"/>
              </w:rPr>
              <w:t>16:00-16:30</w:t>
            </w:r>
          </w:p>
        </w:tc>
        <w:tc>
          <w:tcPr>
            <w:tcW w:w="2325" w:type="dxa"/>
            <w:vAlign w:val="center"/>
          </w:tcPr>
          <w:p>
            <w:pPr>
              <w:pStyle w:val="11"/>
              <w:spacing w:before="48" w:line="360" w:lineRule="auto"/>
              <w:ind w:left="393" w:right="380"/>
              <w:jc w:val="center"/>
              <w:rPr>
                <w:sz w:val="24"/>
              </w:rPr>
            </w:pPr>
            <w:r>
              <w:rPr>
                <w:rFonts w:hint="eastAsia"/>
                <w:sz w:val="24"/>
              </w:rPr>
              <w:t>裁判会议</w:t>
            </w:r>
          </w:p>
        </w:tc>
        <w:tc>
          <w:tcPr>
            <w:tcW w:w="3234" w:type="dxa"/>
            <w:vAlign w:val="center"/>
          </w:tcPr>
          <w:p>
            <w:pPr>
              <w:pStyle w:val="11"/>
              <w:spacing w:before="48" w:line="360" w:lineRule="auto"/>
              <w:ind w:left="328" w:right="314"/>
              <w:jc w:val="center"/>
              <w:rPr>
                <w:sz w:val="24"/>
              </w:rPr>
            </w:pPr>
            <w:r>
              <w:rPr>
                <w:rFonts w:hint="eastAsia" w:ascii="Times New Roman"/>
                <w:sz w:val="24"/>
              </w:rPr>
              <w:t>实验楼</w:t>
            </w:r>
            <w:r>
              <w:rPr>
                <w:rFonts w:ascii="Times New Roman"/>
                <w:sz w:val="24"/>
              </w:rPr>
              <w:t>207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1971" w:type="dxa"/>
            <w:vMerge w:val="continue"/>
            <w:tcBorders>
              <w:top w:val="nil"/>
            </w:tcBorders>
            <w:vAlign w:val="center"/>
          </w:tcPr>
          <w:p>
            <w:pPr>
              <w:spacing w:line="360" w:lineRule="auto"/>
              <w:jc w:val="center"/>
              <w:rPr>
                <w:sz w:val="2"/>
                <w:szCs w:val="2"/>
              </w:rPr>
            </w:pPr>
          </w:p>
        </w:tc>
        <w:tc>
          <w:tcPr>
            <w:tcW w:w="1812" w:type="dxa"/>
            <w:vAlign w:val="center"/>
          </w:tcPr>
          <w:p>
            <w:pPr>
              <w:pStyle w:val="11"/>
              <w:spacing w:before="201" w:line="360" w:lineRule="auto"/>
              <w:ind w:left="314" w:right="296"/>
              <w:jc w:val="center"/>
              <w:rPr>
                <w:rFonts w:ascii="Calibri"/>
                <w:sz w:val="24"/>
              </w:rPr>
            </w:pPr>
            <w:r>
              <w:rPr>
                <w:rFonts w:ascii="Calibri"/>
                <w:sz w:val="24"/>
              </w:rPr>
              <w:t>16:40-17:10</w:t>
            </w:r>
          </w:p>
        </w:tc>
        <w:tc>
          <w:tcPr>
            <w:tcW w:w="2325" w:type="dxa"/>
            <w:vAlign w:val="center"/>
          </w:tcPr>
          <w:p>
            <w:pPr>
              <w:pStyle w:val="11"/>
              <w:spacing w:before="192" w:line="360" w:lineRule="auto"/>
              <w:ind w:left="393" w:right="380"/>
              <w:jc w:val="center"/>
              <w:rPr>
                <w:sz w:val="24"/>
              </w:rPr>
            </w:pPr>
            <w:r>
              <w:rPr>
                <w:rFonts w:hint="eastAsia"/>
                <w:sz w:val="24"/>
              </w:rPr>
              <w:t>选手熟悉场地</w:t>
            </w:r>
          </w:p>
        </w:tc>
        <w:tc>
          <w:tcPr>
            <w:tcW w:w="3234" w:type="dxa"/>
            <w:vAlign w:val="center"/>
          </w:tcPr>
          <w:p>
            <w:pPr>
              <w:pStyle w:val="11"/>
              <w:spacing w:before="36" w:line="360" w:lineRule="auto"/>
              <w:ind w:left="348" w:right="332"/>
              <w:jc w:val="center"/>
              <w:rPr>
                <w:sz w:val="24"/>
              </w:rPr>
            </w:pPr>
            <w:r>
              <w:rPr>
                <w:rFonts w:hint="eastAsia"/>
                <w:sz w:val="24"/>
              </w:rPr>
              <w:t>实训基地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5" w:hRule="atLeast"/>
          <w:jc w:val="center"/>
        </w:trPr>
        <w:tc>
          <w:tcPr>
            <w:tcW w:w="1971" w:type="dxa"/>
            <w:vMerge w:val="restart"/>
            <w:vAlign w:val="center"/>
          </w:tcPr>
          <w:p>
            <w:pPr>
              <w:pStyle w:val="11"/>
              <w:spacing w:before="129" w:line="360" w:lineRule="auto"/>
              <w:ind w:left="142" w:right="127"/>
              <w:jc w:val="center"/>
              <w:rPr>
                <w:sz w:val="24"/>
              </w:rPr>
            </w:pPr>
            <w:bookmarkStart w:id="0" w:name="_Hlk69831672"/>
            <w:r>
              <w:rPr>
                <w:sz w:val="24"/>
              </w:rPr>
              <w:t>2021</w:t>
            </w:r>
            <w:r>
              <w:rPr>
                <w:rFonts w:hint="eastAsia"/>
                <w:sz w:val="24"/>
              </w:rPr>
              <w:t>年</w:t>
            </w:r>
            <w:r>
              <w:rPr>
                <w:sz w:val="24"/>
              </w:rPr>
              <w:t>4</w:t>
            </w:r>
            <w:r>
              <w:rPr>
                <w:rFonts w:hint="eastAsia"/>
                <w:sz w:val="24"/>
              </w:rPr>
              <w:t>月</w:t>
            </w:r>
            <w:r>
              <w:rPr>
                <w:sz w:val="24"/>
              </w:rPr>
              <w:t>29</w:t>
            </w:r>
            <w:r>
              <w:rPr>
                <w:rFonts w:hint="eastAsia"/>
                <w:sz w:val="24"/>
              </w:rPr>
              <w:t>日</w:t>
            </w:r>
          </w:p>
        </w:tc>
        <w:tc>
          <w:tcPr>
            <w:tcW w:w="1812" w:type="dxa"/>
            <w:vMerge w:val="restart"/>
            <w:vAlign w:val="center"/>
          </w:tcPr>
          <w:p>
            <w:pPr>
              <w:pStyle w:val="11"/>
              <w:spacing w:before="138" w:line="360" w:lineRule="auto"/>
              <w:ind w:left="314" w:right="293"/>
              <w:jc w:val="center"/>
              <w:rPr>
                <w:rFonts w:ascii="Calibri"/>
                <w:sz w:val="24"/>
              </w:rPr>
            </w:pPr>
            <w:r>
              <w:rPr>
                <w:rFonts w:hint="eastAsia" w:ascii="Calibri"/>
                <w:sz w:val="24"/>
              </w:rPr>
              <w:t>农药残留检测项目</w:t>
            </w:r>
          </w:p>
        </w:tc>
        <w:tc>
          <w:tcPr>
            <w:tcW w:w="2325" w:type="dxa"/>
            <w:vAlign w:val="center"/>
          </w:tcPr>
          <w:p>
            <w:pPr>
              <w:pStyle w:val="11"/>
              <w:spacing w:before="129" w:line="360" w:lineRule="auto"/>
              <w:ind w:left="393" w:right="380"/>
              <w:jc w:val="center"/>
              <w:rPr>
                <w:b/>
                <w:bCs/>
                <w:sz w:val="24"/>
              </w:rPr>
            </w:pPr>
            <w:r>
              <w:rPr>
                <w:rFonts w:hint="eastAsia" w:ascii="Calibri"/>
                <w:b/>
                <w:bCs/>
                <w:sz w:val="24"/>
              </w:rPr>
              <w:t>时间</w:t>
            </w:r>
          </w:p>
        </w:tc>
        <w:tc>
          <w:tcPr>
            <w:tcW w:w="3234" w:type="dxa"/>
            <w:vAlign w:val="center"/>
          </w:tcPr>
          <w:p>
            <w:pPr>
              <w:pStyle w:val="11"/>
              <w:spacing w:line="360" w:lineRule="auto"/>
              <w:jc w:val="center"/>
              <w:rPr>
                <w:rFonts w:ascii="Times New Roman"/>
                <w:b/>
                <w:bCs/>
                <w:sz w:val="24"/>
              </w:rPr>
            </w:pPr>
            <w:r>
              <w:rPr>
                <w:rFonts w:hint="eastAsia"/>
                <w:b/>
                <w:bCs/>
                <w:sz w:val="24"/>
              </w:rPr>
              <w:t>竞赛任务安排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rFonts w:ascii="Calibri"/>
                <w:sz w:val="24"/>
              </w:rPr>
            </w:pPr>
            <w:r>
              <w:rPr>
                <w:rFonts w:ascii="Calibri"/>
                <w:sz w:val="24"/>
              </w:rPr>
              <w:t>8:00-8:20</w:t>
            </w:r>
          </w:p>
        </w:tc>
        <w:tc>
          <w:tcPr>
            <w:tcW w:w="3234" w:type="dxa"/>
            <w:vAlign w:val="center"/>
          </w:tcPr>
          <w:p>
            <w:pPr>
              <w:pStyle w:val="11"/>
              <w:spacing w:line="360" w:lineRule="auto"/>
              <w:jc w:val="center"/>
              <w:rPr>
                <w:color w:val="000000"/>
                <w:sz w:val="24"/>
              </w:rPr>
            </w:pPr>
            <w:r>
              <w:rPr>
                <w:rFonts w:hint="eastAsia"/>
                <w:color w:val="000000"/>
                <w:sz w:val="24"/>
              </w:rPr>
              <w:t>选手抽签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8:30-11:30</w:t>
            </w:r>
          </w:p>
        </w:tc>
        <w:tc>
          <w:tcPr>
            <w:tcW w:w="3234" w:type="dxa"/>
            <w:vAlign w:val="center"/>
          </w:tcPr>
          <w:p>
            <w:pPr>
              <w:pStyle w:val="11"/>
              <w:spacing w:line="360" w:lineRule="auto"/>
              <w:jc w:val="center"/>
              <w:rPr>
                <w:rFonts w:ascii="Times New Roman"/>
                <w:sz w:val="24"/>
              </w:rPr>
            </w:pPr>
            <w:r>
              <w:rPr>
                <w:rFonts w:hint="eastAsia"/>
                <w:sz w:val="24"/>
              </w:rPr>
              <w:t>样品前处理技能操作竞赛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9"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14:00-14:45</w:t>
            </w:r>
          </w:p>
        </w:tc>
        <w:tc>
          <w:tcPr>
            <w:tcW w:w="3234" w:type="dxa"/>
            <w:vAlign w:val="center"/>
          </w:tcPr>
          <w:p>
            <w:pPr>
              <w:pStyle w:val="11"/>
              <w:spacing w:line="360" w:lineRule="auto"/>
              <w:jc w:val="center"/>
              <w:rPr>
                <w:rFonts w:ascii="Times New Roman"/>
                <w:sz w:val="24"/>
              </w:rPr>
            </w:pPr>
            <w:r>
              <w:rPr>
                <w:rFonts w:hint="eastAsia"/>
                <w:sz w:val="24"/>
              </w:rPr>
              <w:t>气相三维虚拟仿真操作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971" w:type="dxa"/>
            <w:vMerge w:val="continue"/>
          </w:tcPr>
          <w:p>
            <w:pPr>
              <w:pStyle w:val="11"/>
              <w:spacing w:before="129" w:line="360" w:lineRule="auto"/>
              <w:ind w:left="142" w:right="127"/>
              <w:jc w:val="center"/>
              <w:rPr>
                <w:sz w:val="24"/>
              </w:rPr>
            </w:pPr>
          </w:p>
        </w:tc>
        <w:tc>
          <w:tcPr>
            <w:tcW w:w="1812" w:type="dxa"/>
            <w:vMerge w:val="continue"/>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15:00-16:00</w:t>
            </w:r>
          </w:p>
        </w:tc>
        <w:tc>
          <w:tcPr>
            <w:tcW w:w="3234" w:type="dxa"/>
            <w:vAlign w:val="center"/>
          </w:tcPr>
          <w:p>
            <w:pPr>
              <w:pStyle w:val="11"/>
              <w:spacing w:line="360" w:lineRule="auto"/>
              <w:jc w:val="center"/>
              <w:rPr>
                <w:rFonts w:ascii="Times New Roman"/>
                <w:sz w:val="24"/>
              </w:rPr>
            </w:pPr>
            <w:r>
              <w:rPr>
                <w:rFonts w:hint="eastAsia" w:ascii="Times New Roman"/>
                <w:sz w:val="24"/>
              </w:rPr>
              <w:t>数据处理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4" w:hRule="atLeast"/>
          <w:jc w:val="center"/>
        </w:trPr>
        <w:tc>
          <w:tcPr>
            <w:tcW w:w="1971" w:type="dxa"/>
            <w:vMerge w:val="continue"/>
          </w:tcPr>
          <w:p>
            <w:pPr>
              <w:pStyle w:val="11"/>
              <w:spacing w:before="129" w:line="360" w:lineRule="auto"/>
              <w:ind w:left="142" w:right="127"/>
              <w:jc w:val="center"/>
              <w:rPr>
                <w:sz w:val="24"/>
              </w:rPr>
            </w:pPr>
          </w:p>
        </w:tc>
        <w:tc>
          <w:tcPr>
            <w:tcW w:w="1812" w:type="dxa"/>
            <w:vMerge w:val="continue"/>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17:00-18:00</w:t>
            </w:r>
          </w:p>
        </w:tc>
        <w:tc>
          <w:tcPr>
            <w:tcW w:w="3234" w:type="dxa"/>
            <w:vAlign w:val="center"/>
          </w:tcPr>
          <w:p>
            <w:pPr>
              <w:pStyle w:val="11"/>
              <w:spacing w:line="360" w:lineRule="auto"/>
              <w:jc w:val="center"/>
              <w:rPr>
                <w:rFonts w:ascii="Times New Roman"/>
                <w:sz w:val="24"/>
              </w:rPr>
            </w:pPr>
            <w:r>
              <w:rPr>
                <w:rFonts w:hint="eastAsia" w:ascii="Times New Roman"/>
                <w:sz w:val="24"/>
              </w:rPr>
              <w:t>基础理论测试</w:t>
            </w:r>
          </w:p>
        </w:tc>
      </w:tr>
      <w:bookmarkEnd w:id="0"/>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4" w:hRule="atLeast"/>
          <w:jc w:val="center"/>
        </w:trPr>
        <w:tc>
          <w:tcPr>
            <w:tcW w:w="1971" w:type="dxa"/>
            <w:vMerge w:val="restart"/>
            <w:vAlign w:val="center"/>
          </w:tcPr>
          <w:p>
            <w:pPr>
              <w:pStyle w:val="11"/>
              <w:spacing w:before="129" w:line="360" w:lineRule="auto"/>
              <w:ind w:left="142" w:right="127"/>
              <w:jc w:val="center"/>
              <w:rPr>
                <w:sz w:val="24"/>
              </w:rPr>
            </w:pPr>
            <w:r>
              <w:rPr>
                <w:sz w:val="24"/>
              </w:rPr>
              <w:t>2021</w:t>
            </w:r>
            <w:r>
              <w:rPr>
                <w:rFonts w:hint="eastAsia"/>
                <w:sz w:val="24"/>
              </w:rPr>
              <w:t>年</w:t>
            </w:r>
            <w:r>
              <w:rPr>
                <w:sz w:val="24"/>
              </w:rPr>
              <w:t>4</w:t>
            </w:r>
            <w:r>
              <w:rPr>
                <w:rFonts w:hint="eastAsia"/>
                <w:sz w:val="24"/>
              </w:rPr>
              <w:t>月</w:t>
            </w:r>
            <w:r>
              <w:rPr>
                <w:sz w:val="24"/>
              </w:rPr>
              <w:t>29</w:t>
            </w:r>
            <w:r>
              <w:rPr>
                <w:rFonts w:hint="eastAsia"/>
                <w:sz w:val="24"/>
              </w:rPr>
              <w:t>日</w:t>
            </w:r>
          </w:p>
        </w:tc>
        <w:tc>
          <w:tcPr>
            <w:tcW w:w="1812" w:type="dxa"/>
            <w:vMerge w:val="restart"/>
            <w:vAlign w:val="center"/>
          </w:tcPr>
          <w:p>
            <w:pPr>
              <w:pStyle w:val="11"/>
              <w:spacing w:before="138" w:line="360" w:lineRule="auto"/>
              <w:ind w:left="314" w:right="293"/>
              <w:jc w:val="center"/>
              <w:rPr>
                <w:rFonts w:ascii="Calibri"/>
                <w:sz w:val="24"/>
              </w:rPr>
            </w:pPr>
            <w:r>
              <w:rPr>
                <w:rFonts w:hint="eastAsia" w:ascii="Calibri"/>
                <w:sz w:val="24"/>
              </w:rPr>
              <w:t>重金属污染物检测项目</w:t>
            </w:r>
          </w:p>
        </w:tc>
        <w:tc>
          <w:tcPr>
            <w:tcW w:w="2325" w:type="dxa"/>
            <w:vAlign w:val="center"/>
          </w:tcPr>
          <w:p>
            <w:pPr>
              <w:pStyle w:val="11"/>
              <w:spacing w:before="129" w:line="360" w:lineRule="auto"/>
              <w:ind w:left="393" w:right="380"/>
              <w:jc w:val="center"/>
              <w:rPr>
                <w:b/>
                <w:bCs/>
                <w:sz w:val="24"/>
              </w:rPr>
            </w:pPr>
            <w:r>
              <w:rPr>
                <w:rFonts w:hint="eastAsia" w:ascii="Calibri"/>
                <w:b/>
                <w:bCs/>
                <w:sz w:val="24"/>
              </w:rPr>
              <w:t>时间</w:t>
            </w:r>
          </w:p>
        </w:tc>
        <w:tc>
          <w:tcPr>
            <w:tcW w:w="3234" w:type="dxa"/>
            <w:vAlign w:val="center"/>
          </w:tcPr>
          <w:p>
            <w:pPr>
              <w:pStyle w:val="11"/>
              <w:spacing w:line="360" w:lineRule="auto"/>
              <w:jc w:val="center"/>
              <w:rPr>
                <w:rFonts w:ascii="Times New Roman"/>
                <w:b/>
                <w:bCs/>
                <w:sz w:val="24"/>
              </w:rPr>
            </w:pPr>
            <w:r>
              <w:rPr>
                <w:rFonts w:hint="eastAsia"/>
                <w:b/>
                <w:bCs/>
                <w:sz w:val="24"/>
              </w:rPr>
              <w:t>竞赛任务安排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rFonts w:ascii="Calibri"/>
                <w:sz w:val="24"/>
              </w:rPr>
            </w:pPr>
            <w:r>
              <w:rPr>
                <w:rFonts w:ascii="Calibri"/>
                <w:sz w:val="24"/>
              </w:rPr>
              <w:t>8:00-8:20</w:t>
            </w:r>
          </w:p>
        </w:tc>
        <w:tc>
          <w:tcPr>
            <w:tcW w:w="3234" w:type="dxa"/>
            <w:vAlign w:val="center"/>
          </w:tcPr>
          <w:p>
            <w:pPr>
              <w:pStyle w:val="11"/>
              <w:spacing w:line="360" w:lineRule="auto"/>
              <w:jc w:val="center"/>
              <w:rPr>
                <w:sz w:val="24"/>
              </w:rPr>
            </w:pPr>
            <w:r>
              <w:rPr>
                <w:rFonts w:hint="eastAsia"/>
                <w:color w:val="000000"/>
                <w:sz w:val="24"/>
              </w:rPr>
              <w:t>选手抽签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6"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8:30-10:30</w:t>
            </w:r>
          </w:p>
        </w:tc>
        <w:tc>
          <w:tcPr>
            <w:tcW w:w="3234" w:type="dxa"/>
            <w:vAlign w:val="center"/>
          </w:tcPr>
          <w:p>
            <w:pPr>
              <w:pStyle w:val="11"/>
              <w:spacing w:line="360" w:lineRule="auto"/>
              <w:jc w:val="center"/>
              <w:rPr>
                <w:rFonts w:ascii="Times New Roman"/>
                <w:sz w:val="24"/>
              </w:rPr>
            </w:pPr>
            <w:r>
              <w:rPr>
                <w:rFonts w:hint="eastAsia"/>
                <w:sz w:val="24"/>
              </w:rPr>
              <w:t>样品预处理技能操作竞赛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10:30-15:30</w:t>
            </w:r>
          </w:p>
        </w:tc>
        <w:tc>
          <w:tcPr>
            <w:tcW w:w="3234" w:type="dxa"/>
            <w:vAlign w:val="center"/>
          </w:tcPr>
          <w:p>
            <w:pPr>
              <w:pStyle w:val="11"/>
              <w:spacing w:line="360" w:lineRule="auto"/>
              <w:jc w:val="center"/>
              <w:rPr>
                <w:rFonts w:ascii="Times New Roman"/>
                <w:sz w:val="24"/>
              </w:rPr>
            </w:pPr>
            <w:r>
              <w:rPr>
                <w:rFonts w:hint="eastAsia"/>
                <w:sz w:val="24"/>
              </w:rPr>
              <w:t>上机操作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rFonts w:ascii="Calibri"/>
                <w:sz w:val="24"/>
              </w:rPr>
            </w:pPr>
            <w:r>
              <w:rPr>
                <w:rFonts w:ascii="Calibri"/>
                <w:sz w:val="24"/>
              </w:rPr>
              <w:t>15:45-16:30</w:t>
            </w:r>
          </w:p>
        </w:tc>
        <w:tc>
          <w:tcPr>
            <w:tcW w:w="3234" w:type="dxa"/>
            <w:vAlign w:val="center"/>
          </w:tcPr>
          <w:p>
            <w:pPr>
              <w:pStyle w:val="11"/>
              <w:spacing w:line="360" w:lineRule="auto"/>
              <w:jc w:val="center"/>
              <w:rPr>
                <w:sz w:val="24"/>
              </w:rPr>
            </w:pPr>
            <w:r>
              <w:rPr>
                <w:rFonts w:hint="eastAsia"/>
                <w:sz w:val="24"/>
              </w:rPr>
              <w:t>数据处理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jc w:val="center"/>
        </w:trPr>
        <w:tc>
          <w:tcPr>
            <w:tcW w:w="1971" w:type="dxa"/>
            <w:vMerge w:val="continue"/>
            <w:vAlign w:val="center"/>
          </w:tcPr>
          <w:p>
            <w:pPr>
              <w:pStyle w:val="11"/>
              <w:spacing w:before="129" w:line="360" w:lineRule="auto"/>
              <w:ind w:left="142" w:right="127"/>
              <w:jc w:val="center"/>
              <w:rPr>
                <w:sz w:val="24"/>
              </w:rPr>
            </w:pPr>
          </w:p>
        </w:tc>
        <w:tc>
          <w:tcPr>
            <w:tcW w:w="1812" w:type="dxa"/>
            <w:vMerge w:val="continue"/>
            <w:vAlign w:val="center"/>
          </w:tcPr>
          <w:p>
            <w:pPr>
              <w:pStyle w:val="11"/>
              <w:spacing w:before="138" w:line="360" w:lineRule="auto"/>
              <w:ind w:left="314" w:right="293"/>
              <w:jc w:val="center"/>
              <w:rPr>
                <w:rFonts w:ascii="Calibri"/>
                <w:sz w:val="24"/>
              </w:rPr>
            </w:pPr>
          </w:p>
        </w:tc>
        <w:tc>
          <w:tcPr>
            <w:tcW w:w="2325" w:type="dxa"/>
            <w:vAlign w:val="center"/>
          </w:tcPr>
          <w:p>
            <w:pPr>
              <w:pStyle w:val="11"/>
              <w:spacing w:before="129" w:line="360" w:lineRule="auto"/>
              <w:ind w:left="393" w:right="380"/>
              <w:jc w:val="center"/>
              <w:rPr>
                <w:sz w:val="24"/>
              </w:rPr>
            </w:pPr>
            <w:r>
              <w:rPr>
                <w:rFonts w:ascii="Calibri"/>
                <w:sz w:val="24"/>
              </w:rPr>
              <w:t>17:00-18:00</w:t>
            </w:r>
          </w:p>
        </w:tc>
        <w:tc>
          <w:tcPr>
            <w:tcW w:w="3234" w:type="dxa"/>
            <w:vAlign w:val="center"/>
          </w:tcPr>
          <w:p>
            <w:pPr>
              <w:pStyle w:val="11"/>
              <w:spacing w:line="360" w:lineRule="auto"/>
              <w:jc w:val="center"/>
              <w:rPr>
                <w:rFonts w:ascii="Times New Roman"/>
                <w:sz w:val="24"/>
              </w:rPr>
            </w:pPr>
            <w:r>
              <w:rPr>
                <w:rFonts w:hint="eastAsia" w:ascii="Times New Roman"/>
                <w:sz w:val="24"/>
              </w:rPr>
              <w:t>基础理论测试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6" w:hRule="atLeast"/>
          <w:jc w:val="center"/>
        </w:trPr>
        <w:tc>
          <w:tcPr>
            <w:tcW w:w="1971" w:type="dxa"/>
            <w:vAlign w:val="center"/>
          </w:tcPr>
          <w:p>
            <w:pPr>
              <w:pStyle w:val="11"/>
              <w:spacing w:before="129" w:line="360" w:lineRule="auto"/>
              <w:ind w:left="142" w:right="127"/>
              <w:jc w:val="center"/>
              <w:rPr>
                <w:sz w:val="24"/>
              </w:rPr>
            </w:pPr>
            <w:r>
              <w:rPr>
                <w:rFonts w:hint="eastAsia"/>
                <w:b/>
                <w:bCs/>
                <w:sz w:val="24"/>
              </w:rPr>
              <w:t>日期</w:t>
            </w:r>
          </w:p>
        </w:tc>
        <w:tc>
          <w:tcPr>
            <w:tcW w:w="1812" w:type="dxa"/>
            <w:vAlign w:val="center"/>
          </w:tcPr>
          <w:p>
            <w:pPr>
              <w:pStyle w:val="11"/>
              <w:spacing w:before="138" w:line="360" w:lineRule="auto"/>
              <w:ind w:left="314" w:right="293"/>
              <w:jc w:val="center"/>
              <w:rPr>
                <w:rFonts w:ascii="Calibri"/>
                <w:sz w:val="24"/>
              </w:rPr>
            </w:pPr>
            <w:r>
              <w:rPr>
                <w:rFonts w:hint="eastAsia"/>
                <w:b/>
                <w:bCs/>
                <w:sz w:val="24"/>
              </w:rPr>
              <w:t>时间</w:t>
            </w:r>
          </w:p>
        </w:tc>
        <w:tc>
          <w:tcPr>
            <w:tcW w:w="2325" w:type="dxa"/>
            <w:vAlign w:val="center"/>
          </w:tcPr>
          <w:p>
            <w:pPr>
              <w:pStyle w:val="11"/>
              <w:spacing w:before="129" w:line="360" w:lineRule="auto"/>
              <w:ind w:left="393" w:right="380"/>
              <w:jc w:val="center"/>
              <w:rPr>
                <w:rFonts w:ascii="Calibri"/>
                <w:sz w:val="24"/>
              </w:rPr>
            </w:pPr>
            <w:r>
              <w:rPr>
                <w:rFonts w:hint="eastAsia"/>
                <w:b/>
                <w:bCs/>
                <w:sz w:val="24"/>
              </w:rPr>
              <w:t>内容</w:t>
            </w:r>
          </w:p>
        </w:tc>
        <w:tc>
          <w:tcPr>
            <w:tcW w:w="3234" w:type="dxa"/>
            <w:vAlign w:val="center"/>
          </w:tcPr>
          <w:p>
            <w:pPr>
              <w:pStyle w:val="11"/>
              <w:spacing w:line="360" w:lineRule="auto"/>
              <w:jc w:val="center"/>
              <w:rPr>
                <w:rFonts w:ascii="Times New Roman"/>
                <w:sz w:val="24"/>
              </w:rPr>
            </w:pPr>
            <w:r>
              <w:rPr>
                <w:rFonts w:hint="eastAsia"/>
                <w:b/>
                <w:bCs/>
                <w:sz w:val="24"/>
              </w:rPr>
              <w:t>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8" w:hRule="atLeast"/>
          <w:jc w:val="center"/>
        </w:trPr>
        <w:tc>
          <w:tcPr>
            <w:tcW w:w="1971" w:type="dxa"/>
            <w:vAlign w:val="center"/>
          </w:tcPr>
          <w:p>
            <w:pPr>
              <w:pStyle w:val="11"/>
              <w:spacing w:before="129" w:line="360" w:lineRule="auto"/>
              <w:ind w:left="142" w:right="127"/>
              <w:jc w:val="center"/>
              <w:rPr>
                <w:sz w:val="24"/>
              </w:rPr>
            </w:pPr>
            <w:r>
              <w:rPr>
                <w:sz w:val="24"/>
              </w:rPr>
              <w:t>2021</w:t>
            </w:r>
            <w:r>
              <w:rPr>
                <w:rFonts w:hint="eastAsia"/>
                <w:sz w:val="24"/>
              </w:rPr>
              <w:t>年</w:t>
            </w:r>
            <w:r>
              <w:rPr>
                <w:sz w:val="24"/>
              </w:rPr>
              <w:t>4</w:t>
            </w:r>
            <w:r>
              <w:rPr>
                <w:rFonts w:hint="eastAsia"/>
                <w:sz w:val="24"/>
              </w:rPr>
              <w:t>月</w:t>
            </w:r>
            <w:r>
              <w:rPr>
                <w:sz w:val="24"/>
              </w:rPr>
              <w:t>30</w:t>
            </w:r>
            <w:r>
              <w:rPr>
                <w:rFonts w:hint="eastAsia"/>
                <w:sz w:val="24"/>
              </w:rPr>
              <w:t>日</w:t>
            </w:r>
          </w:p>
        </w:tc>
        <w:tc>
          <w:tcPr>
            <w:tcW w:w="1812" w:type="dxa"/>
            <w:vAlign w:val="center"/>
          </w:tcPr>
          <w:p>
            <w:pPr>
              <w:pStyle w:val="11"/>
              <w:spacing w:before="138" w:line="360" w:lineRule="auto"/>
              <w:ind w:left="314" w:right="293"/>
              <w:jc w:val="center"/>
              <w:rPr>
                <w:rFonts w:ascii="Calibri"/>
                <w:sz w:val="24"/>
              </w:rPr>
            </w:pPr>
            <w:r>
              <w:rPr>
                <w:rFonts w:ascii="Calibri"/>
                <w:sz w:val="24"/>
              </w:rPr>
              <w:t>9:00-11:00</w:t>
            </w:r>
          </w:p>
        </w:tc>
        <w:tc>
          <w:tcPr>
            <w:tcW w:w="2325" w:type="dxa"/>
            <w:vAlign w:val="center"/>
          </w:tcPr>
          <w:p>
            <w:pPr>
              <w:pStyle w:val="11"/>
              <w:spacing w:before="129" w:line="360" w:lineRule="auto"/>
              <w:ind w:left="393" w:right="380"/>
              <w:jc w:val="center"/>
              <w:rPr>
                <w:rFonts w:ascii="Calibri"/>
                <w:sz w:val="24"/>
              </w:rPr>
            </w:pPr>
            <w:r>
              <w:rPr>
                <w:rFonts w:hint="eastAsia" w:ascii="Calibri"/>
                <w:sz w:val="24"/>
              </w:rPr>
              <w:t>闭幕式</w:t>
            </w:r>
          </w:p>
        </w:tc>
        <w:tc>
          <w:tcPr>
            <w:tcW w:w="3234" w:type="dxa"/>
            <w:vAlign w:val="center"/>
          </w:tcPr>
          <w:p>
            <w:pPr>
              <w:pStyle w:val="11"/>
              <w:spacing w:line="360" w:lineRule="auto"/>
              <w:jc w:val="center"/>
              <w:rPr>
                <w:rFonts w:ascii="Times New Roman"/>
                <w:sz w:val="24"/>
              </w:rPr>
            </w:pPr>
            <w:r>
              <w:rPr>
                <w:rFonts w:ascii="Times New Roman"/>
                <w:sz w:val="24"/>
              </w:rPr>
              <w:t>D108</w:t>
            </w:r>
          </w:p>
        </w:tc>
      </w:tr>
    </w:tbl>
    <w:p>
      <w:pPr>
        <w:pStyle w:val="3"/>
        <w:adjustRightInd w:val="0"/>
        <w:snapToGrid w:val="0"/>
        <w:spacing w:line="360" w:lineRule="auto"/>
        <w:ind w:left="0"/>
        <w:rPr>
          <w:rFonts w:ascii="黑体" w:eastAsia="黑体"/>
        </w:rPr>
      </w:pPr>
      <w:r>
        <w:rPr>
          <w:rFonts w:hint="eastAsia" w:ascii="黑体" w:eastAsia="黑体"/>
        </w:rPr>
        <w:t>六、竞赛规则</w:t>
      </w:r>
    </w:p>
    <w:p>
      <w:pPr>
        <w:adjustRightInd w:val="0"/>
        <w:snapToGrid w:val="0"/>
        <w:spacing w:before="43" w:line="360" w:lineRule="auto"/>
        <w:ind w:firstLine="551" w:firstLineChars="196"/>
        <w:rPr>
          <w:b/>
          <w:sz w:val="15"/>
        </w:rPr>
      </w:pPr>
      <w:r>
        <w:rPr>
          <w:rFonts w:hint="eastAsia"/>
          <w:b/>
          <w:sz w:val="28"/>
        </w:rPr>
        <w:t>（一）参赛资格</w:t>
      </w:r>
    </w:p>
    <w:p>
      <w:pPr>
        <w:pStyle w:val="10"/>
        <w:tabs>
          <w:tab w:val="left" w:pos="1061"/>
        </w:tabs>
        <w:adjustRightInd w:val="0"/>
        <w:snapToGrid w:val="0"/>
        <w:spacing w:line="360" w:lineRule="auto"/>
        <w:ind w:left="0" w:right="256" w:firstLine="560"/>
        <w:rPr>
          <w:sz w:val="28"/>
        </w:rPr>
      </w:pPr>
      <w:r>
        <w:rPr>
          <w:sz w:val="28"/>
        </w:rPr>
        <w:t>1.</w:t>
      </w:r>
      <w:r>
        <w:rPr>
          <w:rFonts w:hint="eastAsia"/>
          <w:sz w:val="28"/>
        </w:rPr>
        <w:t>参赛选手须为普通高等学校全日制在籍专科学生。本科院校中高职</w:t>
      </w:r>
      <w:r>
        <w:rPr>
          <w:rFonts w:hint="eastAsia"/>
          <w:spacing w:val="-3"/>
          <w:sz w:val="28"/>
        </w:rPr>
        <w:t>类全日制在籍学生。五年制高职四、五年级在籍学生。</w:t>
      </w:r>
    </w:p>
    <w:p>
      <w:pPr>
        <w:pStyle w:val="10"/>
        <w:tabs>
          <w:tab w:val="left" w:pos="1061"/>
        </w:tabs>
        <w:adjustRightInd w:val="0"/>
        <w:snapToGrid w:val="0"/>
        <w:spacing w:line="360" w:lineRule="auto"/>
        <w:ind w:left="0" w:right="256" w:firstLine="528"/>
        <w:rPr>
          <w:sz w:val="28"/>
        </w:rPr>
      </w:pPr>
      <w:r>
        <w:rPr>
          <w:spacing w:val="-8"/>
          <w:sz w:val="28"/>
        </w:rPr>
        <w:t>2.</w:t>
      </w:r>
      <w:r>
        <w:rPr>
          <w:rFonts w:hint="eastAsia"/>
          <w:sz w:val="28"/>
        </w:rPr>
        <w:t>高职组参赛选手年龄须不超过</w:t>
      </w:r>
      <w:r>
        <w:rPr>
          <w:sz w:val="28"/>
        </w:rPr>
        <w:t>25</w:t>
      </w:r>
      <w:r>
        <w:rPr>
          <w:rFonts w:hint="eastAsia"/>
          <w:sz w:val="28"/>
        </w:rPr>
        <w:t>周岁，年龄计算的截止时间以</w:t>
      </w:r>
      <w:r>
        <w:rPr>
          <w:sz w:val="28"/>
        </w:rPr>
        <w:t>2021</w:t>
      </w:r>
      <w:r>
        <w:rPr>
          <w:rFonts w:hint="eastAsia"/>
          <w:sz w:val="28"/>
        </w:rPr>
        <w:t>年</w:t>
      </w:r>
      <w:r>
        <w:rPr>
          <w:sz w:val="28"/>
        </w:rPr>
        <w:t>5</w:t>
      </w:r>
      <w:r>
        <w:rPr>
          <w:rFonts w:hint="eastAsia"/>
          <w:sz w:val="28"/>
        </w:rPr>
        <w:t>月</w:t>
      </w:r>
      <w:r>
        <w:rPr>
          <w:sz w:val="28"/>
        </w:rPr>
        <w:t>1</w:t>
      </w:r>
      <w:r>
        <w:rPr>
          <w:rFonts w:hint="eastAsia"/>
          <w:sz w:val="28"/>
        </w:rPr>
        <w:t>日为准。</w:t>
      </w:r>
    </w:p>
    <w:p>
      <w:pPr>
        <w:pStyle w:val="10"/>
        <w:tabs>
          <w:tab w:val="left" w:pos="1061"/>
        </w:tabs>
        <w:adjustRightInd w:val="0"/>
        <w:snapToGrid w:val="0"/>
        <w:spacing w:line="360" w:lineRule="auto"/>
        <w:ind w:left="0" w:right="256" w:firstLine="560"/>
        <w:rPr>
          <w:sz w:val="28"/>
        </w:rPr>
      </w:pPr>
      <w:r>
        <w:rPr>
          <w:sz w:val="28"/>
        </w:rPr>
        <w:t>3.</w:t>
      </w:r>
      <w:r>
        <w:rPr>
          <w:rFonts w:hint="eastAsia"/>
          <w:sz w:val="28"/>
        </w:rPr>
        <w:t>凡在往届全国职业院校技能大赛中获一等奖的选手，不能再参加同一项目同一组别的比赛。</w:t>
      </w:r>
    </w:p>
    <w:p>
      <w:pPr>
        <w:pStyle w:val="3"/>
        <w:adjustRightInd w:val="0"/>
        <w:snapToGrid w:val="0"/>
        <w:spacing w:line="360" w:lineRule="auto"/>
        <w:ind w:left="0" w:firstLine="551" w:firstLineChars="196"/>
        <w:rPr>
          <w:rFonts w:ascii="宋体" w:hAnsi="宋体" w:eastAsia="宋体"/>
        </w:rPr>
      </w:pPr>
      <w:r>
        <w:rPr>
          <w:rFonts w:hint="eastAsia" w:ascii="宋体" w:hAnsi="宋体" w:eastAsia="宋体"/>
        </w:rPr>
        <w:t>（二）报名要求</w:t>
      </w:r>
    </w:p>
    <w:p>
      <w:pPr>
        <w:pStyle w:val="4"/>
        <w:adjustRightInd w:val="0"/>
        <w:snapToGrid w:val="0"/>
        <w:spacing w:before="62" w:line="360" w:lineRule="auto"/>
        <w:ind w:left="0" w:firstLine="560"/>
      </w:pPr>
      <w:r>
        <w:rPr>
          <w:rFonts w:hint="eastAsia"/>
        </w:rPr>
        <w:t>参赛选手和指导教师报名获得确认后不得随意更换。如备赛过程中参</w:t>
      </w:r>
      <w:r>
        <w:rPr>
          <w:rFonts w:hint="eastAsia"/>
          <w:spacing w:val="-8"/>
        </w:rPr>
        <w:t>赛选手和指导教师因故无法参赛，须于相应赛项开赛</w:t>
      </w:r>
      <w:r>
        <w:rPr>
          <w:spacing w:val="-8"/>
        </w:rPr>
        <w:t xml:space="preserve"> </w:t>
      </w:r>
      <w:r>
        <w:rPr>
          <w:rFonts w:ascii="Times New Roman" w:eastAsia="Times New Roman"/>
        </w:rPr>
        <w:t xml:space="preserve">10 </w:t>
      </w:r>
      <w:r>
        <w:rPr>
          <w:rFonts w:hint="eastAsia"/>
          <w:spacing w:val="-3"/>
        </w:rPr>
        <w:t>个工作日之前出具</w:t>
      </w:r>
      <w:r>
        <w:rPr>
          <w:rFonts w:hint="eastAsia"/>
          <w:spacing w:val="-2"/>
        </w:rPr>
        <w:t>书面说明，经大赛执委会办公室核实后予以更换。竞赛开始后，参赛队不</w:t>
      </w:r>
      <w:r>
        <w:rPr>
          <w:rFonts w:hint="eastAsia"/>
        </w:rPr>
        <w:t>得更换参赛队员，允许队员缺席比赛。</w:t>
      </w:r>
    </w:p>
    <w:p>
      <w:pPr>
        <w:pStyle w:val="3"/>
        <w:spacing w:before="94" w:line="360" w:lineRule="auto"/>
        <w:ind w:left="0" w:firstLine="551" w:firstLineChars="196"/>
      </w:pPr>
      <w:r>
        <w:rPr>
          <w:rFonts w:hint="eastAsia" w:eastAsia="宋体"/>
        </w:rPr>
        <w:t>（三）赛</w:t>
      </w:r>
      <w:r>
        <w:rPr>
          <w:rFonts w:hint="eastAsia"/>
        </w:rPr>
        <w:t>前</w:t>
      </w:r>
      <w:r>
        <w:rPr>
          <w:rFonts w:hint="eastAsia" w:eastAsia="宋体"/>
        </w:rPr>
        <w:t>准备</w:t>
      </w:r>
    </w:p>
    <w:p>
      <w:pPr>
        <w:pStyle w:val="4"/>
        <w:spacing w:before="62" w:line="360" w:lineRule="auto"/>
        <w:ind w:left="0" w:firstLine="528" w:firstLineChars="200"/>
        <w:rPr>
          <w:spacing w:val="-8"/>
        </w:rPr>
      </w:pPr>
      <w:r>
        <w:rPr>
          <w:spacing w:val="-8"/>
        </w:rPr>
        <w:t>1.</w:t>
      </w:r>
      <w:r>
        <w:rPr>
          <w:rFonts w:hint="eastAsia"/>
          <w:spacing w:val="-8"/>
        </w:rPr>
        <w:t>熟悉场地：比赛日前一天下午</w:t>
      </w:r>
      <w:r>
        <w:rPr>
          <w:spacing w:val="-8"/>
        </w:rPr>
        <w:t>16:40-17:10</w:t>
      </w:r>
      <w:r>
        <w:rPr>
          <w:rFonts w:hint="eastAsia"/>
          <w:spacing w:val="-8"/>
        </w:rPr>
        <w:t>开放赛场，参赛选手应在竞赛日程规定的时间内熟悉竞赛场地。</w:t>
      </w:r>
    </w:p>
    <w:p>
      <w:pPr>
        <w:pStyle w:val="4"/>
        <w:spacing w:before="62" w:line="360" w:lineRule="auto"/>
        <w:ind w:left="0" w:firstLine="528" w:firstLineChars="200"/>
        <w:rPr>
          <w:spacing w:val="-8"/>
        </w:rPr>
      </w:pPr>
      <w:r>
        <w:rPr>
          <w:spacing w:val="-8"/>
        </w:rPr>
        <w:t>2.</w:t>
      </w:r>
      <w:r>
        <w:rPr>
          <w:rFonts w:hint="eastAsia"/>
          <w:spacing w:val="-8"/>
        </w:rPr>
        <w:t>领队会议：比赛日前一天下午召开领队会议，由各参赛队伍的领队和指导教师参加，会议讲解竞赛注意事项并进行赛前答疑。</w:t>
      </w:r>
    </w:p>
    <w:p>
      <w:pPr>
        <w:pStyle w:val="4"/>
        <w:spacing w:before="62" w:line="360" w:lineRule="auto"/>
        <w:ind w:left="0" w:firstLine="528" w:firstLineChars="200"/>
        <w:rPr>
          <w:spacing w:val="-8"/>
        </w:rPr>
      </w:pPr>
      <w:r>
        <w:rPr>
          <w:spacing w:val="-8"/>
        </w:rPr>
        <w:t>3.</w:t>
      </w:r>
      <w:r>
        <w:rPr>
          <w:rFonts w:hint="eastAsia"/>
          <w:spacing w:val="-8"/>
        </w:rPr>
        <w:t>抽签仪式：领队会议上确定分批抽签，比赛前</w:t>
      </w:r>
      <w:r>
        <w:rPr>
          <w:spacing w:val="-8"/>
        </w:rPr>
        <w:t xml:space="preserve"> 20 </w:t>
      </w:r>
      <w:r>
        <w:rPr>
          <w:rFonts w:hint="eastAsia"/>
          <w:spacing w:val="-8"/>
        </w:rPr>
        <w:t>分钟内选手赛位抽签，通过抽签确定各参赛队的赛次工位。</w:t>
      </w:r>
    </w:p>
    <w:p>
      <w:pPr>
        <w:pStyle w:val="4"/>
        <w:spacing w:before="62" w:line="360" w:lineRule="auto"/>
        <w:ind w:left="0" w:firstLine="528" w:firstLineChars="200"/>
        <w:rPr>
          <w:spacing w:val="-3"/>
        </w:rPr>
      </w:pPr>
      <w:r>
        <w:rPr>
          <w:spacing w:val="-8"/>
        </w:rPr>
        <w:t>4.</w:t>
      </w:r>
      <w:r>
        <w:rPr>
          <w:rFonts w:hint="eastAsia"/>
          <w:spacing w:val="-8"/>
        </w:rPr>
        <w:t>参赛队入场：参赛选手应提前</w:t>
      </w:r>
      <w:r>
        <w:rPr>
          <w:spacing w:val="-8"/>
        </w:rPr>
        <w:t xml:space="preserve"> 30 </w:t>
      </w:r>
      <w:r>
        <w:rPr>
          <w:rFonts w:hint="eastAsia"/>
          <w:spacing w:val="-8"/>
        </w:rPr>
        <w:t>分钟到达赛场，接受工作人员对选手身份、资格和有关证件的核验，赛位由抽签确定，不得擅自变更、调整；</w:t>
      </w:r>
      <w:r>
        <w:rPr>
          <w:spacing w:val="-8"/>
        </w:rPr>
        <w:t xml:space="preserve"> </w:t>
      </w:r>
      <w:r>
        <w:rPr>
          <w:rFonts w:hint="eastAsia"/>
          <w:spacing w:val="-8"/>
        </w:rPr>
        <w:t>选手在竞赛过程</w:t>
      </w:r>
      <w:r>
        <w:rPr>
          <w:rFonts w:hint="eastAsia"/>
          <w:spacing w:val="-3"/>
        </w:rPr>
        <w:t>中不得擅自离开赛场，如有特殊情况，须经裁判人员同意。选手不得将手机、无线上网卡、移动存储设备、资料等与竞赛无关的物品带入赛场。</w:t>
      </w:r>
    </w:p>
    <w:p>
      <w:pPr>
        <w:pStyle w:val="3"/>
        <w:spacing w:line="360" w:lineRule="auto"/>
        <w:ind w:left="0" w:firstLine="550" w:firstLineChars="200"/>
        <w:rPr>
          <w:rFonts w:ascii="宋体" w:hAnsi="宋体" w:eastAsia="宋体" w:cs="宋体"/>
          <w:bCs w:val="0"/>
          <w:spacing w:val="-3"/>
        </w:rPr>
      </w:pPr>
      <w:r>
        <w:rPr>
          <w:rFonts w:hint="eastAsia" w:ascii="宋体" w:hAnsi="宋体" w:eastAsia="宋体" w:cs="宋体"/>
          <w:bCs w:val="0"/>
          <w:spacing w:val="-3"/>
        </w:rPr>
        <w:t>（四）正式比赛</w:t>
      </w:r>
    </w:p>
    <w:p>
      <w:pPr>
        <w:pStyle w:val="10"/>
        <w:tabs>
          <w:tab w:val="left" w:pos="1128"/>
        </w:tabs>
        <w:spacing w:before="200" w:line="360" w:lineRule="auto"/>
        <w:ind w:left="0" w:right="253" w:firstLine="548" w:firstLineChars="200"/>
        <w:rPr>
          <w:spacing w:val="-3"/>
          <w:sz w:val="28"/>
          <w:szCs w:val="28"/>
        </w:rPr>
      </w:pPr>
      <w:r>
        <w:rPr>
          <w:spacing w:val="-3"/>
          <w:sz w:val="28"/>
          <w:szCs w:val="28"/>
        </w:rPr>
        <w:t>1.</w:t>
      </w:r>
      <w:r>
        <w:rPr>
          <w:rFonts w:hint="eastAsia"/>
          <w:spacing w:val="-3"/>
          <w:sz w:val="28"/>
          <w:szCs w:val="28"/>
        </w:rPr>
        <w:t>所有人员在赛场内不得有影响其他选手完成工作任务的行为，参赛选手不允许窜岗窜位，使用文明用语，不得言语及人身攻击裁判和赛场工作人员。</w:t>
      </w:r>
    </w:p>
    <w:p>
      <w:pPr>
        <w:pStyle w:val="4"/>
        <w:spacing w:before="70" w:line="360" w:lineRule="auto"/>
        <w:ind w:left="0" w:right="255" w:firstLine="520" w:firstLineChars="200"/>
      </w:pPr>
      <w:r>
        <w:rPr>
          <w:spacing w:val="-10"/>
        </w:rPr>
        <w:t>2.</w:t>
      </w:r>
      <w:r>
        <w:rPr>
          <w:rFonts w:hint="eastAsia"/>
          <w:spacing w:val="-10"/>
        </w:rPr>
        <w:t>选手须严格遵守安全操作规程，并接受裁判员的监督仲裁组和警示，</w:t>
      </w:r>
      <w:r>
        <w:rPr>
          <w:spacing w:val="-10"/>
        </w:rPr>
        <w:t xml:space="preserve"> </w:t>
      </w:r>
      <w:r>
        <w:rPr>
          <w:rFonts w:hint="eastAsia"/>
          <w:spacing w:val="-5"/>
        </w:rPr>
        <w:t>以确保参赛人身及设备安全。选手因个人误操作造成人身安全事故和设备</w:t>
      </w:r>
      <w:r>
        <w:rPr>
          <w:rFonts w:hint="eastAsia"/>
          <w:spacing w:val="-3"/>
        </w:rPr>
        <w:t>故障时，裁判长有权中止该队比赛；如非选手个人因素出现设备故障而无法比赛，由裁判长视具体情况做出裁决</w:t>
      </w:r>
      <w:r>
        <w:rPr>
          <w:rFonts w:ascii="Times New Roman" w:eastAsia="Times New Roman"/>
        </w:rPr>
        <w:t>(</w:t>
      </w:r>
      <w:r>
        <w:rPr>
          <w:rFonts w:hint="eastAsia"/>
          <w:spacing w:val="-2"/>
        </w:rPr>
        <w:t>调换到备份赛位或调整至最后一场</w:t>
      </w:r>
      <w:r>
        <w:rPr>
          <w:rFonts w:hint="eastAsia"/>
        </w:rPr>
        <w:t>次参加比赛</w:t>
      </w:r>
      <w:r>
        <w:rPr>
          <w:rFonts w:ascii="Times New Roman" w:eastAsia="Times New Roman"/>
        </w:rPr>
        <w:t>)</w:t>
      </w:r>
      <w:r>
        <w:rPr>
          <w:rFonts w:hint="eastAsia"/>
        </w:rPr>
        <w:t>；如裁判长确定设备故障可由技术支持人员排除故障后继续比赛，将给参赛选手补足所耽误的比赛时间。</w:t>
      </w:r>
    </w:p>
    <w:p>
      <w:pPr>
        <w:pStyle w:val="4"/>
        <w:spacing w:before="70" w:line="360" w:lineRule="auto"/>
        <w:ind w:left="0" w:right="255" w:firstLine="560" w:firstLineChars="200"/>
      </w:pPr>
      <w:r>
        <w:t>3.</w:t>
      </w:r>
      <w:r>
        <w:rPr>
          <w:rFonts w:hint="eastAsia"/>
        </w:rPr>
        <w:t>选手进入赛场后，不得擅自离开赛场，因病或其他原因离开赛场或终止比赛，应向裁判示意，须经赛场裁判长同意，并在赛场记录表上签字</w:t>
      </w:r>
      <w:r>
        <w:rPr>
          <w:rFonts w:hint="eastAsia"/>
          <w:spacing w:val="-3"/>
        </w:rPr>
        <w:t>确认后，方可离开赛场并在赛场工作人员指引下到达指定地点。</w:t>
      </w:r>
    </w:p>
    <w:p>
      <w:pPr>
        <w:pStyle w:val="10"/>
        <w:tabs>
          <w:tab w:val="left" w:pos="1128"/>
        </w:tabs>
        <w:spacing w:line="360" w:lineRule="auto"/>
        <w:ind w:left="0" w:right="253" w:firstLine="560" w:firstLineChars="200"/>
        <w:jc w:val="both"/>
        <w:rPr>
          <w:sz w:val="28"/>
        </w:rPr>
      </w:pPr>
      <w:r>
        <w:rPr>
          <w:sz w:val="28"/>
        </w:rPr>
        <w:t>4.</w:t>
      </w:r>
      <w:r>
        <w:rPr>
          <w:rFonts w:hint="eastAsia"/>
          <w:sz w:val="28"/>
        </w:rPr>
        <w:t>选手须按照程序提交比赛结果，在比赛赛位的计算机规定文件夹内存储比赛文档，配合裁判做好赛场情况记录，并签字确认，裁判提出签名</w:t>
      </w:r>
      <w:r>
        <w:rPr>
          <w:rFonts w:hint="eastAsia"/>
          <w:spacing w:val="-3"/>
          <w:sz w:val="28"/>
        </w:rPr>
        <w:t>要求时，不得无故拒绝。</w:t>
      </w:r>
    </w:p>
    <w:p>
      <w:pPr>
        <w:pStyle w:val="10"/>
        <w:tabs>
          <w:tab w:val="left" w:pos="1140"/>
        </w:tabs>
        <w:spacing w:line="360" w:lineRule="auto"/>
        <w:ind w:left="0" w:right="253" w:firstLine="592" w:firstLineChars="200"/>
        <w:jc w:val="both"/>
        <w:rPr>
          <w:sz w:val="28"/>
        </w:rPr>
      </w:pPr>
      <w:r>
        <w:rPr>
          <w:spacing w:val="8"/>
          <w:sz w:val="28"/>
        </w:rPr>
        <w:t>5.</w:t>
      </w:r>
      <w:r>
        <w:rPr>
          <w:rFonts w:hint="eastAsia"/>
          <w:spacing w:val="8"/>
          <w:sz w:val="28"/>
        </w:rPr>
        <w:t>裁判长发布比赛结束指令后所有未完成任务参赛选手立即停止操</w:t>
      </w:r>
      <w:r>
        <w:rPr>
          <w:rFonts w:hint="eastAsia"/>
          <w:spacing w:val="-3"/>
          <w:sz w:val="28"/>
        </w:rPr>
        <w:t>作</w:t>
      </w:r>
      <w:r>
        <w:rPr>
          <w:rFonts w:hint="eastAsia"/>
          <w:sz w:val="28"/>
        </w:rPr>
        <w:t>，按要求清理赛位，不得以任何理由拖延竞赛时间。</w:t>
      </w:r>
    </w:p>
    <w:p>
      <w:pPr>
        <w:tabs>
          <w:tab w:val="left" w:pos="1128"/>
        </w:tabs>
        <w:spacing w:line="360" w:lineRule="auto"/>
        <w:ind w:right="253" w:firstLine="551" w:firstLineChars="196"/>
        <w:jc w:val="both"/>
        <w:rPr>
          <w:b/>
          <w:sz w:val="28"/>
        </w:rPr>
      </w:pPr>
      <w:r>
        <w:rPr>
          <w:rFonts w:hint="eastAsia"/>
          <w:b/>
          <w:sz w:val="28"/>
        </w:rPr>
        <w:t>（五）成绩评定</w:t>
      </w:r>
    </w:p>
    <w:p>
      <w:pPr>
        <w:pStyle w:val="10"/>
        <w:tabs>
          <w:tab w:val="left" w:pos="1128"/>
        </w:tabs>
        <w:spacing w:line="360" w:lineRule="auto"/>
        <w:ind w:left="0" w:right="253" w:firstLine="560" w:firstLineChars="200"/>
        <w:jc w:val="both"/>
        <w:rPr>
          <w:sz w:val="28"/>
        </w:rPr>
      </w:pPr>
      <w:r>
        <w:rPr>
          <w:sz w:val="28"/>
        </w:rPr>
        <w:t>1.</w:t>
      </w:r>
      <w:r>
        <w:rPr>
          <w:rFonts w:hint="eastAsia"/>
          <w:sz w:val="28"/>
        </w:rPr>
        <w:t>过程评判，所有评分项要由过程裁判签字确认。</w:t>
      </w:r>
    </w:p>
    <w:p>
      <w:pPr>
        <w:pStyle w:val="10"/>
        <w:tabs>
          <w:tab w:val="left" w:pos="1128"/>
        </w:tabs>
        <w:spacing w:line="360" w:lineRule="auto"/>
        <w:ind w:left="0" w:right="253" w:firstLine="560" w:firstLineChars="200"/>
        <w:jc w:val="both"/>
        <w:rPr>
          <w:sz w:val="28"/>
        </w:rPr>
      </w:pPr>
      <w:r>
        <w:rPr>
          <w:sz w:val="28"/>
        </w:rPr>
        <w:t>2.</w:t>
      </w:r>
      <w:r>
        <w:rPr>
          <w:rFonts w:hint="eastAsia"/>
          <w:sz w:val="28"/>
        </w:rPr>
        <w:t>结果评判，结果裁判负责所有工位的评判，裁判评分进行算术平均后作为选手最后得分，并有专人进行录像。</w:t>
      </w:r>
    </w:p>
    <w:p>
      <w:pPr>
        <w:pStyle w:val="10"/>
        <w:tabs>
          <w:tab w:val="left" w:pos="1128"/>
        </w:tabs>
        <w:spacing w:line="360" w:lineRule="auto"/>
        <w:ind w:left="0" w:right="253" w:firstLine="560" w:firstLineChars="200"/>
        <w:jc w:val="both"/>
        <w:rPr>
          <w:sz w:val="28"/>
        </w:rPr>
      </w:pPr>
      <w:r>
        <w:rPr>
          <w:sz w:val="28"/>
        </w:rPr>
        <w:t>3.</w:t>
      </w:r>
      <w:r>
        <w:rPr>
          <w:rFonts w:hint="eastAsia"/>
          <w:sz w:val="28"/>
        </w:rPr>
        <w:t>评判结束后，记分员负责在监督仲裁组监督下完成统分工作，统分表由记分员、裁判长、监督仲裁组成员共同签字确认，在监督仲裁组监督下由裁判长审核签字后封装。</w:t>
      </w:r>
    </w:p>
    <w:p>
      <w:pPr>
        <w:pStyle w:val="10"/>
        <w:tabs>
          <w:tab w:val="left" w:pos="1128"/>
        </w:tabs>
        <w:spacing w:line="360" w:lineRule="auto"/>
        <w:ind w:left="0" w:right="253" w:firstLine="560" w:firstLineChars="200"/>
        <w:jc w:val="both"/>
        <w:rPr>
          <w:sz w:val="28"/>
        </w:rPr>
      </w:pPr>
      <w:r>
        <w:rPr>
          <w:sz w:val="28"/>
        </w:rPr>
        <w:t>4.</w:t>
      </w:r>
      <w:r>
        <w:rPr>
          <w:rFonts w:hint="eastAsia"/>
          <w:sz w:val="28"/>
        </w:rPr>
        <w:t>总分相同的队伍，按照重金属检测项目的比赛分数进行排名，该项目比赛分数仍然相同的队伍，按照农残检测项目</w:t>
      </w:r>
      <w:r>
        <w:rPr>
          <w:sz w:val="28"/>
        </w:rPr>
        <w:t>-</w:t>
      </w:r>
      <w:r>
        <w:rPr>
          <w:rFonts w:hint="eastAsia"/>
          <w:sz w:val="28"/>
        </w:rPr>
        <w:t>检测结果考核环节的分值进行排名。</w:t>
      </w:r>
    </w:p>
    <w:p>
      <w:pPr>
        <w:pStyle w:val="3"/>
        <w:adjustRightInd w:val="0"/>
        <w:snapToGrid w:val="0"/>
        <w:spacing w:line="360" w:lineRule="auto"/>
        <w:ind w:left="0" w:firstLine="551" w:firstLineChars="196"/>
        <w:rPr>
          <w:rFonts w:eastAsia="宋体"/>
        </w:rPr>
      </w:pPr>
      <w:r>
        <w:rPr>
          <w:rFonts w:hint="eastAsia" w:ascii="Times New Roman" w:eastAsia="宋体"/>
        </w:rPr>
        <w:t>（</w:t>
      </w:r>
      <w:r>
        <w:rPr>
          <w:rFonts w:hint="eastAsia" w:eastAsia="宋体"/>
        </w:rPr>
        <w:t>六</w:t>
      </w:r>
      <w:r>
        <w:rPr>
          <w:rFonts w:hint="eastAsia" w:ascii="Times New Roman" w:eastAsia="宋体"/>
        </w:rPr>
        <w:t>）</w:t>
      </w:r>
      <w:r>
        <w:rPr>
          <w:rFonts w:hint="eastAsia" w:eastAsia="宋体"/>
        </w:rPr>
        <w:t>成绩公布</w:t>
      </w:r>
    </w:p>
    <w:p>
      <w:pPr>
        <w:pStyle w:val="4"/>
        <w:adjustRightInd w:val="0"/>
        <w:snapToGrid w:val="0"/>
        <w:spacing w:before="72" w:line="360" w:lineRule="auto"/>
        <w:ind w:left="0" w:right="256" w:firstLine="560" w:firstLineChars="200"/>
        <w:rPr>
          <w:spacing w:val="-2"/>
        </w:rPr>
      </w:pPr>
      <w:r>
        <w:rPr>
          <w:rFonts w:hint="eastAsia"/>
        </w:rPr>
        <w:t>记分员将解密后的各参赛队伍（选手）成绩汇总成最终结果，经裁判长、监督仲裁组签字后进行公示。</w:t>
      </w:r>
    </w:p>
    <w:p>
      <w:pPr>
        <w:pStyle w:val="3"/>
        <w:adjustRightInd w:val="0"/>
        <w:snapToGrid w:val="0"/>
        <w:spacing w:line="360" w:lineRule="auto"/>
        <w:ind w:left="0"/>
        <w:rPr>
          <w:rFonts w:ascii="黑体"/>
          <w:sz w:val="20"/>
        </w:rPr>
      </w:pPr>
      <w:r>
        <w:rPr>
          <w:rFonts w:hint="eastAsia" w:ascii="黑体" w:eastAsia="黑体"/>
        </w:rPr>
        <w:t>七、技术规范</w:t>
      </w:r>
    </w:p>
    <w:p>
      <w:pPr>
        <w:pStyle w:val="4"/>
        <w:adjustRightInd w:val="0"/>
        <w:snapToGrid w:val="0"/>
        <w:spacing w:line="360" w:lineRule="auto"/>
        <w:ind w:left="0" w:right="256" w:firstLine="560" w:firstLineChars="200"/>
      </w:pPr>
      <w:r>
        <w:rPr>
          <w:rFonts w:hint="eastAsia"/>
        </w:rPr>
        <w:t>竞赛项目的命题结合农产品（食品）检测职业岗位的技能需求，并参照表中相关国家标准、行业标准制定。</w:t>
      </w: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6"/>
        <w:gridCol w:w="3182"/>
        <w:gridCol w:w="5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816" w:type="dxa"/>
            <w:vAlign w:val="center"/>
          </w:tcPr>
          <w:p>
            <w:pPr>
              <w:pStyle w:val="11"/>
              <w:spacing w:before="15" w:line="360" w:lineRule="auto"/>
              <w:ind w:left="101" w:right="91"/>
              <w:jc w:val="center"/>
              <w:rPr>
                <w:sz w:val="28"/>
              </w:rPr>
            </w:pPr>
            <w:r>
              <w:rPr>
                <w:rFonts w:hint="eastAsia"/>
                <w:sz w:val="28"/>
              </w:rPr>
              <w:t>序号</w:t>
            </w:r>
          </w:p>
        </w:tc>
        <w:tc>
          <w:tcPr>
            <w:tcW w:w="3182" w:type="dxa"/>
            <w:vAlign w:val="center"/>
          </w:tcPr>
          <w:p>
            <w:pPr>
              <w:pStyle w:val="11"/>
              <w:spacing w:before="15" w:line="360" w:lineRule="auto"/>
              <w:ind w:left="643" w:right="633"/>
              <w:jc w:val="center"/>
              <w:rPr>
                <w:sz w:val="28"/>
              </w:rPr>
            </w:pPr>
            <w:r>
              <w:rPr>
                <w:rFonts w:hint="eastAsia"/>
                <w:sz w:val="28"/>
              </w:rPr>
              <w:t>标准号</w:t>
            </w:r>
          </w:p>
        </w:tc>
        <w:tc>
          <w:tcPr>
            <w:tcW w:w="5460" w:type="dxa"/>
            <w:vAlign w:val="center"/>
          </w:tcPr>
          <w:p>
            <w:pPr>
              <w:pStyle w:val="11"/>
              <w:spacing w:before="15" w:line="360" w:lineRule="auto"/>
              <w:ind w:left="139" w:right="127"/>
              <w:jc w:val="center"/>
              <w:rPr>
                <w:sz w:val="28"/>
              </w:rPr>
            </w:pPr>
            <w:r>
              <w:rPr>
                <w:rFonts w:hint="eastAsia"/>
                <w:sz w:val="28"/>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816" w:type="dxa"/>
            <w:vAlign w:val="center"/>
          </w:tcPr>
          <w:p>
            <w:pPr>
              <w:pStyle w:val="11"/>
              <w:spacing w:before="9" w:line="360" w:lineRule="auto"/>
              <w:jc w:val="center"/>
              <w:rPr>
                <w:sz w:val="23"/>
              </w:rPr>
            </w:pPr>
          </w:p>
          <w:p>
            <w:pPr>
              <w:pStyle w:val="11"/>
              <w:spacing w:line="360" w:lineRule="auto"/>
              <w:ind w:left="11"/>
              <w:jc w:val="center"/>
              <w:rPr>
                <w:rFonts w:ascii="Times New Roman"/>
                <w:sz w:val="28"/>
              </w:rPr>
            </w:pPr>
            <w:r>
              <w:rPr>
                <w:rFonts w:ascii="Times New Roman"/>
                <w:sz w:val="28"/>
              </w:rPr>
              <w:t>1</w:t>
            </w:r>
          </w:p>
        </w:tc>
        <w:tc>
          <w:tcPr>
            <w:tcW w:w="3182" w:type="dxa"/>
            <w:vAlign w:val="center"/>
          </w:tcPr>
          <w:p>
            <w:pPr>
              <w:pStyle w:val="11"/>
              <w:spacing w:before="9" w:line="360" w:lineRule="auto"/>
              <w:jc w:val="center"/>
              <w:rPr>
                <w:sz w:val="23"/>
              </w:rPr>
            </w:pPr>
          </w:p>
          <w:p>
            <w:pPr>
              <w:pStyle w:val="11"/>
              <w:spacing w:line="360" w:lineRule="auto"/>
              <w:ind w:right="633"/>
              <w:jc w:val="center"/>
              <w:rPr>
                <w:rFonts w:ascii="Times New Roman"/>
                <w:sz w:val="28"/>
              </w:rPr>
            </w:pPr>
            <w:r>
              <w:fldChar w:fldCharType="begin"/>
            </w:r>
            <w:r>
              <w:instrText xml:space="preserve"> HYPERLINK "http://www.csres.com/detail/66266.html" \h </w:instrText>
            </w:r>
            <w:r>
              <w:fldChar w:fldCharType="separate"/>
            </w:r>
            <w:r>
              <w:rPr>
                <w:rFonts w:ascii="Times New Roman"/>
                <w:sz w:val="28"/>
              </w:rPr>
              <w:t>NY/T 761-2008</w:t>
            </w:r>
            <w:r>
              <w:rPr>
                <w:rFonts w:ascii="Times New Roman"/>
                <w:sz w:val="28"/>
              </w:rPr>
              <w:fldChar w:fldCharType="end"/>
            </w:r>
          </w:p>
        </w:tc>
        <w:tc>
          <w:tcPr>
            <w:tcW w:w="5460" w:type="dxa"/>
            <w:vAlign w:val="center"/>
          </w:tcPr>
          <w:p>
            <w:pPr>
              <w:pStyle w:val="11"/>
              <w:spacing w:before="2" w:line="360" w:lineRule="auto"/>
              <w:ind w:left="139" w:right="131"/>
              <w:jc w:val="center"/>
              <w:rPr>
                <w:sz w:val="28"/>
              </w:rPr>
            </w:pPr>
            <w:r>
              <w:rPr>
                <w:rFonts w:hint="eastAsia"/>
                <w:sz w:val="28"/>
              </w:rPr>
              <w:t>蔬菜和水果有机磷、有机氯、拟除虫菊酯</w:t>
            </w:r>
          </w:p>
          <w:p>
            <w:pPr>
              <w:pStyle w:val="11"/>
              <w:spacing w:before="186" w:line="360" w:lineRule="auto"/>
              <w:ind w:left="139" w:right="131"/>
              <w:jc w:val="center"/>
              <w:rPr>
                <w:sz w:val="28"/>
              </w:rPr>
            </w:pPr>
            <w:r>
              <w:rPr>
                <w:rFonts w:hint="eastAsia"/>
                <w:sz w:val="28"/>
              </w:rPr>
              <w:t>和氨基甲酸酯类农药多残留的测定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16" w:type="dxa"/>
            <w:vAlign w:val="center"/>
          </w:tcPr>
          <w:p>
            <w:pPr>
              <w:pStyle w:val="4"/>
              <w:spacing w:before="1" w:line="360" w:lineRule="auto"/>
              <w:ind w:left="0"/>
              <w:jc w:val="center"/>
              <w:rPr>
                <w:rFonts w:ascii="Times New Roman"/>
              </w:rPr>
            </w:pPr>
            <w:r>
              <w:rPr>
                <w:rFonts w:ascii="Times New Roman"/>
              </w:rPr>
              <w:t>2</w:t>
            </w:r>
          </w:p>
        </w:tc>
        <w:tc>
          <w:tcPr>
            <w:tcW w:w="3182" w:type="dxa"/>
            <w:vAlign w:val="center"/>
          </w:tcPr>
          <w:p>
            <w:pPr>
              <w:pStyle w:val="4"/>
              <w:spacing w:before="1" w:line="360" w:lineRule="auto"/>
              <w:ind w:left="0" w:right="633"/>
              <w:jc w:val="center"/>
            </w:pPr>
            <w:r>
              <w:rPr>
                <w:rFonts w:ascii="Times New Roman"/>
              </w:rPr>
              <w:t>GB 5009.12-2017</w:t>
            </w:r>
          </w:p>
        </w:tc>
        <w:tc>
          <w:tcPr>
            <w:tcW w:w="5460" w:type="dxa"/>
            <w:vAlign w:val="center"/>
          </w:tcPr>
          <w:p>
            <w:pPr>
              <w:pStyle w:val="4"/>
              <w:spacing w:before="1" w:line="360" w:lineRule="auto"/>
              <w:ind w:left="0" w:right="131"/>
              <w:jc w:val="center"/>
            </w:pPr>
            <w:r>
              <w:rPr>
                <w:rFonts w:hint="eastAsia"/>
              </w:rPr>
              <w:t>食品安全国家标准</w:t>
            </w:r>
            <w:r>
              <w:rPr>
                <w:rFonts w:ascii="Times New Roman" w:eastAsia="Times New Roman"/>
              </w:rPr>
              <w:t>-</w:t>
            </w:r>
            <w:r>
              <w:rPr>
                <w:rFonts w:hint="eastAsia"/>
              </w:rPr>
              <w:t>食品中铅的测定</w:t>
            </w:r>
          </w:p>
        </w:tc>
      </w:tr>
    </w:tbl>
    <w:p>
      <w:pPr>
        <w:pStyle w:val="3"/>
        <w:spacing w:before="61" w:line="360" w:lineRule="auto"/>
        <w:ind w:left="0"/>
        <w:rPr>
          <w:rFonts w:eastAsia="宋体"/>
        </w:rPr>
      </w:pPr>
      <w:r>
        <w:rPr>
          <w:rFonts w:hint="eastAsia" w:ascii="黑体" w:eastAsia="黑体"/>
        </w:rPr>
        <w:t>八、</w:t>
      </w:r>
      <w:r>
        <w:rPr>
          <w:rFonts w:hint="eastAsia"/>
        </w:rPr>
        <w:t>各</w:t>
      </w:r>
      <w:r>
        <w:rPr>
          <w:rFonts w:hint="eastAsia" w:eastAsia="宋体"/>
        </w:rPr>
        <w:t>竞赛项</w:t>
      </w:r>
      <w:r>
        <w:rPr>
          <w:rFonts w:hint="eastAsia"/>
        </w:rPr>
        <w:t>目所用主要</w:t>
      </w:r>
      <w:r>
        <w:rPr>
          <w:rFonts w:hint="eastAsia" w:eastAsia="宋体"/>
        </w:rPr>
        <w:t>设备及化学试剂</w:t>
      </w:r>
    </w:p>
    <w:p>
      <w:pPr>
        <w:pStyle w:val="3"/>
        <w:adjustRightInd w:val="0"/>
        <w:snapToGrid w:val="0"/>
        <w:spacing w:line="360" w:lineRule="auto"/>
        <w:ind w:left="0" w:firstLine="551" w:firstLineChars="196"/>
        <w:rPr>
          <w:rFonts w:eastAsia="宋体"/>
        </w:rPr>
      </w:pPr>
      <w:r>
        <w:rPr>
          <w:rFonts w:hint="eastAsia" w:ascii="Times New Roman" w:eastAsia="宋体"/>
        </w:rPr>
        <w:t>（</w:t>
      </w:r>
      <w:r>
        <w:rPr>
          <w:rFonts w:hint="eastAsia" w:eastAsia="宋体"/>
        </w:rPr>
        <w:t>一</w:t>
      </w:r>
      <w:r>
        <w:rPr>
          <w:rFonts w:hint="eastAsia" w:ascii="Times New Roman" w:eastAsia="宋体"/>
        </w:rPr>
        <w:t>）</w:t>
      </w:r>
      <w:r>
        <w:rPr>
          <w:rFonts w:hint="eastAsia"/>
        </w:rPr>
        <w:t>主要</w:t>
      </w:r>
      <w:r>
        <w:rPr>
          <w:rFonts w:hint="eastAsia" w:eastAsia="宋体"/>
        </w:rPr>
        <w:t>仪器设备与量器</w:t>
      </w:r>
    </w:p>
    <w:p>
      <w:pPr>
        <w:pStyle w:val="10"/>
        <w:tabs>
          <w:tab w:val="left" w:pos="848"/>
        </w:tabs>
        <w:spacing w:before="30" w:line="360" w:lineRule="auto"/>
        <w:ind w:left="0" w:firstLine="562" w:firstLineChars="200"/>
        <w:rPr>
          <w:spacing w:val="-2"/>
          <w:sz w:val="28"/>
        </w:rPr>
      </w:pPr>
      <w:r>
        <w:rPr>
          <w:rFonts w:ascii="Microsoft JhengHei"/>
          <w:b/>
          <w:sz w:val="28"/>
        </w:rPr>
        <w:t>1.</w:t>
      </w:r>
      <w:r>
        <w:rPr>
          <w:rFonts w:hint="eastAsia" w:ascii="Microsoft JhengHei"/>
          <w:b/>
          <w:sz w:val="28"/>
        </w:rPr>
        <w:t>农药残留检测项目</w:t>
      </w: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1913"/>
        <w:gridCol w:w="5057"/>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vAlign w:val="center"/>
          </w:tcPr>
          <w:p>
            <w:pPr>
              <w:pStyle w:val="11"/>
              <w:spacing w:before="132" w:line="360" w:lineRule="auto"/>
              <w:ind w:left="120" w:right="108"/>
              <w:jc w:val="center"/>
              <w:rPr>
                <w:sz w:val="28"/>
              </w:rPr>
            </w:pPr>
            <w:r>
              <w:rPr>
                <w:rFonts w:hint="eastAsia"/>
                <w:sz w:val="28"/>
              </w:rPr>
              <w:t>序号</w:t>
            </w:r>
          </w:p>
        </w:tc>
        <w:tc>
          <w:tcPr>
            <w:tcW w:w="1913" w:type="dxa"/>
            <w:vAlign w:val="center"/>
          </w:tcPr>
          <w:p>
            <w:pPr>
              <w:pStyle w:val="11"/>
              <w:spacing w:before="132" w:line="360" w:lineRule="auto"/>
              <w:ind w:left="95" w:right="84"/>
              <w:jc w:val="center"/>
              <w:rPr>
                <w:sz w:val="28"/>
              </w:rPr>
            </w:pPr>
            <w:r>
              <w:rPr>
                <w:rFonts w:hint="eastAsia"/>
                <w:sz w:val="28"/>
              </w:rPr>
              <w:t>名称</w:t>
            </w:r>
          </w:p>
        </w:tc>
        <w:tc>
          <w:tcPr>
            <w:tcW w:w="5057" w:type="dxa"/>
            <w:vAlign w:val="center"/>
          </w:tcPr>
          <w:p>
            <w:pPr>
              <w:pStyle w:val="11"/>
              <w:spacing w:before="132" w:line="360" w:lineRule="auto"/>
              <w:ind w:left="147" w:right="136"/>
              <w:jc w:val="center"/>
              <w:rPr>
                <w:sz w:val="28"/>
              </w:rPr>
            </w:pPr>
            <w:r>
              <w:rPr>
                <w:rFonts w:hint="eastAsia"/>
                <w:sz w:val="28"/>
              </w:rPr>
              <w:t>规格</w:t>
            </w:r>
          </w:p>
        </w:tc>
        <w:tc>
          <w:tcPr>
            <w:tcW w:w="1478" w:type="dxa"/>
            <w:vAlign w:val="center"/>
          </w:tcPr>
          <w:p>
            <w:pPr>
              <w:pStyle w:val="11"/>
              <w:spacing w:before="132" w:line="360" w:lineRule="auto"/>
              <w:ind w:left="76" w:right="67"/>
              <w:jc w:val="center"/>
              <w:rPr>
                <w:sz w:val="28"/>
              </w:rPr>
            </w:pPr>
            <w:r>
              <w:rPr>
                <w:rFonts w:hint="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8" w:type="dxa"/>
            <w:vAlign w:val="center"/>
          </w:tcPr>
          <w:p>
            <w:pPr>
              <w:pStyle w:val="11"/>
              <w:spacing w:before="150" w:line="360" w:lineRule="auto"/>
              <w:ind w:left="8"/>
              <w:jc w:val="center"/>
              <w:rPr>
                <w:rFonts w:ascii="Times New Roman"/>
                <w:sz w:val="28"/>
              </w:rPr>
            </w:pPr>
            <w:r>
              <w:rPr>
                <w:rFonts w:ascii="Times New Roman"/>
                <w:sz w:val="28"/>
              </w:rPr>
              <w:t>1</w:t>
            </w:r>
          </w:p>
        </w:tc>
        <w:tc>
          <w:tcPr>
            <w:tcW w:w="1913" w:type="dxa"/>
            <w:vAlign w:val="center"/>
          </w:tcPr>
          <w:p>
            <w:pPr>
              <w:pStyle w:val="11"/>
              <w:spacing w:before="133" w:line="360" w:lineRule="auto"/>
              <w:ind w:left="95" w:right="86"/>
              <w:jc w:val="center"/>
              <w:rPr>
                <w:sz w:val="28"/>
              </w:rPr>
            </w:pPr>
            <w:r>
              <w:rPr>
                <w:rFonts w:hint="eastAsia"/>
                <w:sz w:val="28"/>
              </w:rPr>
              <w:t>电子天平</w:t>
            </w:r>
          </w:p>
        </w:tc>
        <w:tc>
          <w:tcPr>
            <w:tcW w:w="5057" w:type="dxa"/>
            <w:vAlign w:val="center"/>
          </w:tcPr>
          <w:p>
            <w:pPr>
              <w:pStyle w:val="11"/>
              <w:spacing w:before="150" w:line="360" w:lineRule="auto"/>
              <w:ind w:left="2178"/>
              <w:rPr>
                <w:rFonts w:ascii="Times New Roman"/>
                <w:sz w:val="28"/>
              </w:rPr>
            </w:pPr>
            <w:r>
              <w:rPr>
                <w:rFonts w:ascii="Times New Roman"/>
                <w:sz w:val="28"/>
              </w:rPr>
              <w:t>0.01 g</w:t>
            </w:r>
          </w:p>
        </w:tc>
        <w:tc>
          <w:tcPr>
            <w:tcW w:w="1478" w:type="dxa"/>
            <w:vAlign w:val="center"/>
          </w:tcPr>
          <w:p>
            <w:pPr>
              <w:pStyle w:val="11"/>
              <w:spacing w:before="133" w:line="360" w:lineRule="auto"/>
              <w:ind w:left="76" w:right="67"/>
              <w:jc w:val="center"/>
              <w:rPr>
                <w:sz w:val="28"/>
              </w:rPr>
            </w:pPr>
            <w:r>
              <w:rPr>
                <w:rFonts w:ascii="Times New Roman" w:eastAsia="Times New Roman"/>
                <w:sz w:val="28"/>
              </w:rPr>
              <w:t xml:space="preserve">2-3 </w:t>
            </w:r>
            <w:r>
              <w:rPr>
                <w:rFonts w:hint="eastAsia"/>
                <w:sz w:val="28"/>
              </w:rPr>
              <w:t>人共用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8" w:type="dxa"/>
            <w:vAlign w:val="center"/>
          </w:tcPr>
          <w:p>
            <w:pPr>
              <w:pStyle w:val="11"/>
              <w:spacing w:before="149" w:line="360" w:lineRule="auto"/>
              <w:ind w:left="8"/>
              <w:jc w:val="center"/>
              <w:rPr>
                <w:rFonts w:ascii="Times New Roman"/>
                <w:sz w:val="28"/>
              </w:rPr>
            </w:pPr>
            <w:r>
              <w:rPr>
                <w:rFonts w:ascii="Times New Roman"/>
                <w:sz w:val="28"/>
              </w:rPr>
              <w:t>2</w:t>
            </w:r>
          </w:p>
        </w:tc>
        <w:tc>
          <w:tcPr>
            <w:tcW w:w="1913" w:type="dxa"/>
            <w:vAlign w:val="center"/>
          </w:tcPr>
          <w:p>
            <w:pPr>
              <w:pStyle w:val="11"/>
              <w:spacing w:before="133" w:line="360" w:lineRule="auto"/>
              <w:ind w:left="95" w:right="84"/>
              <w:jc w:val="center"/>
              <w:rPr>
                <w:sz w:val="28"/>
              </w:rPr>
            </w:pPr>
            <w:r>
              <w:rPr>
                <w:rFonts w:hint="eastAsia"/>
                <w:sz w:val="28"/>
              </w:rPr>
              <w:t>食品加工器</w:t>
            </w:r>
          </w:p>
        </w:tc>
        <w:tc>
          <w:tcPr>
            <w:tcW w:w="5057" w:type="dxa"/>
            <w:vAlign w:val="center"/>
          </w:tcPr>
          <w:p>
            <w:pPr>
              <w:pStyle w:val="11"/>
              <w:spacing w:before="133" w:line="360" w:lineRule="auto"/>
              <w:ind w:left="147" w:right="138"/>
              <w:jc w:val="center"/>
              <w:rPr>
                <w:sz w:val="28"/>
              </w:rPr>
            </w:pPr>
            <w:r>
              <w:rPr>
                <w:rFonts w:hint="eastAsia"/>
                <w:sz w:val="28"/>
              </w:rPr>
              <w:t>根据比赛项目需要配备</w:t>
            </w:r>
          </w:p>
        </w:tc>
        <w:tc>
          <w:tcPr>
            <w:tcW w:w="1478" w:type="dxa"/>
            <w:vAlign w:val="center"/>
          </w:tcPr>
          <w:p>
            <w:pPr>
              <w:pStyle w:val="11"/>
              <w:spacing w:before="133" w:line="360" w:lineRule="auto"/>
              <w:ind w:left="76" w:right="67"/>
              <w:jc w:val="center"/>
              <w:rPr>
                <w:sz w:val="28"/>
              </w:rPr>
            </w:pPr>
            <w:r>
              <w:rPr>
                <w:rFonts w:ascii="Times New Roman" w:eastAsia="Times New Roman"/>
                <w:sz w:val="28"/>
              </w:rPr>
              <w:t xml:space="preserve">2-3 </w:t>
            </w:r>
            <w:r>
              <w:rPr>
                <w:rFonts w:hint="eastAsia"/>
                <w:sz w:val="28"/>
              </w:rPr>
              <w:t>人共用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8" w:type="dxa"/>
            <w:vAlign w:val="center"/>
          </w:tcPr>
          <w:p>
            <w:pPr>
              <w:pStyle w:val="11"/>
              <w:spacing w:before="151" w:line="360" w:lineRule="auto"/>
              <w:ind w:left="8"/>
              <w:jc w:val="center"/>
              <w:rPr>
                <w:rFonts w:ascii="Times New Roman"/>
                <w:sz w:val="28"/>
              </w:rPr>
            </w:pPr>
            <w:r>
              <w:rPr>
                <w:rFonts w:ascii="Times New Roman"/>
                <w:sz w:val="28"/>
              </w:rPr>
              <w:t>3</w:t>
            </w:r>
          </w:p>
        </w:tc>
        <w:tc>
          <w:tcPr>
            <w:tcW w:w="1913" w:type="dxa"/>
            <w:vAlign w:val="center"/>
          </w:tcPr>
          <w:p>
            <w:pPr>
              <w:pStyle w:val="11"/>
              <w:spacing w:before="133" w:line="360" w:lineRule="auto"/>
              <w:ind w:left="95" w:right="84"/>
              <w:jc w:val="center"/>
              <w:rPr>
                <w:sz w:val="28"/>
              </w:rPr>
            </w:pPr>
            <w:r>
              <w:rPr>
                <w:rFonts w:hint="eastAsia"/>
                <w:sz w:val="28"/>
              </w:rPr>
              <w:t>旋涡混合器</w:t>
            </w:r>
          </w:p>
        </w:tc>
        <w:tc>
          <w:tcPr>
            <w:tcW w:w="5057" w:type="dxa"/>
            <w:vAlign w:val="center"/>
          </w:tcPr>
          <w:p>
            <w:pPr>
              <w:pStyle w:val="11"/>
              <w:spacing w:before="133" w:line="360" w:lineRule="auto"/>
              <w:ind w:left="147" w:right="138"/>
              <w:jc w:val="center"/>
              <w:rPr>
                <w:sz w:val="28"/>
              </w:rPr>
            </w:pPr>
            <w:r>
              <w:rPr>
                <w:rFonts w:hint="eastAsia"/>
                <w:sz w:val="28"/>
              </w:rPr>
              <w:t>根据比赛项目需要配备</w:t>
            </w:r>
          </w:p>
        </w:tc>
        <w:tc>
          <w:tcPr>
            <w:tcW w:w="1478" w:type="dxa"/>
            <w:vAlign w:val="center"/>
          </w:tcPr>
          <w:p>
            <w:pPr>
              <w:pStyle w:val="11"/>
              <w:spacing w:before="133" w:line="360" w:lineRule="auto"/>
              <w:ind w:left="76" w:right="67"/>
              <w:jc w:val="center"/>
              <w:rPr>
                <w:sz w:val="28"/>
              </w:rPr>
            </w:pPr>
            <w:r>
              <w:rPr>
                <w:rFonts w:ascii="Times New Roman" w:eastAsia="Times New Roman"/>
                <w:sz w:val="28"/>
              </w:rPr>
              <w:t xml:space="preserve">2-3 </w:t>
            </w:r>
            <w:r>
              <w:rPr>
                <w:rFonts w:hint="eastAsia"/>
                <w:sz w:val="28"/>
              </w:rPr>
              <w:t>人共用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8" w:type="dxa"/>
            <w:vAlign w:val="center"/>
          </w:tcPr>
          <w:p>
            <w:pPr>
              <w:pStyle w:val="11"/>
              <w:spacing w:before="151" w:line="360" w:lineRule="auto"/>
              <w:ind w:left="8"/>
              <w:jc w:val="center"/>
              <w:rPr>
                <w:rFonts w:ascii="Times New Roman"/>
                <w:sz w:val="28"/>
              </w:rPr>
            </w:pPr>
            <w:r>
              <w:rPr>
                <w:rFonts w:ascii="Times New Roman"/>
                <w:sz w:val="28"/>
              </w:rPr>
              <w:t>4</w:t>
            </w:r>
          </w:p>
        </w:tc>
        <w:tc>
          <w:tcPr>
            <w:tcW w:w="1913" w:type="dxa"/>
            <w:vAlign w:val="center"/>
          </w:tcPr>
          <w:p>
            <w:pPr>
              <w:pStyle w:val="11"/>
              <w:spacing w:before="132" w:line="360" w:lineRule="auto"/>
              <w:ind w:left="95" w:right="88"/>
              <w:jc w:val="center"/>
              <w:rPr>
                <w:sz w:val="28"/>
              </w:rPr>
            </w:pPr>
            <w:r>
              <w:rPr>
                <w:rFonts w:hint="eastAsia"/>
                <w:sz w:val="28"/>
              </w:rPr>
              <w:t>氮吹仪</w:t>
            </w:r>
          </w:p>
        </w:tc>
        <w:tc>
          <w:tcPr>
            <w:tcW w:w="5057" w:type="dxa"/>
            <w:vAlign w:val="center"/>
          </w:tcPr>
          <w:p>
            <w:pPr>
              <w:pStyle w:val="11"/>
              <w:spacing w:before="132" w:line="360" w:lineRule="auto"/>
              <w:ind w:left="147" w:right="138"/>
              <w:jc w:val="center"/>
              <w:rPr>
                <w:sz w:val="28"/>
              </w:rPr>
            </w:pPr>
            <w:r>
              <w:rPr>
                <w:rFonts w:hint="eastAsia"/>
                <w:sz w:val="28"/>
              </w:rPr>
              <w:t>根据比赛项目需要配备</w:t>
            </w:r>
          </w:p>
        </w:tc>
        <w:tc>
          <w:tcPr>
            <w:tcW w:w="1478" w:type="dxa"/>
            <w:vAlign w:val="center"/>
          </w:tcPr>
          <w:p>
            <w:pPr>
              <w:pStyle w:val="11"/>
              <w:spacing w:before="132" w:line="360" w:lineRule="auto"/>
              <w:ind w:left="76" w:right="67"/>
              <w:jc w:val="center"/>
              <w:rPr>
                <w:sz w:val="28"/>
              </w:rPr>
            </w:pPr>
            <w:r>
              <w:rPr>
                <w:rFonts w:ascii="Times New Roman" w:eastAsia="Times New Roman"/>
                <w:sz w:val="28"/>
              </w:rPr>
              <w:t xml:space="preserve">2-3 </w:t>
            </w:r>
            <w:r>
              <w:rPr>
                <w:rFonts w:hint="eastAsia"/>
                <w:sz w:val="28"/>
              </w:rPr>
              <w:t>人共用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50" w:line="360" w:lineRule="auto"/>
              <w:ind w:left="8"/>
              <w:jc w:val="center"/>
              <w:rPr>
                <w:rFonts w:ascii="Times New Roman"/>
                <w:sz w:val="28"/>
              </w:rPr>
            </w:pPr>
            <w:r>
              <w:rPr>
                <w:rFonts w:ascii="Times New Roman"/>
                <w:sz w:val="28"/>
              </w:rPr>
              <w:t>5</w:t>
            </w:r>
          </w:p>
        </w:tc>
        <w:tc>
          <w:tcPr>
            <w:tcW w:w="1913" w:type="dxa"/>
            <w:vAlign w:val="center"/>
          </w:tcPr>
          <w:p>
            <w:pPr>
              <w:pStyle w:val="11"/>
              <w:spacing w:before="132" w:line="360" w:lineRule="auto"/>
              <w:ind w:left="95" w:right="88"/>
              <w:jc w:val="center"/>
              <w:rPr>
                <w:sz w:val="28"/>
              </w:rPr>
            </w:pPr>
            <w:r>
              <w:rPr>
                <w:rFonts w:hint="eastAsia"/>
                <w:sz w:val="28"/>
              </w:rPr>
              <w:t>一次性注射器</w:t>
            </w:r>
          </w:p>
        </w:tc>
        <w:tc>
          <w:tcPr>
            <w:tcW w:w="5057" w:type="dxa"/>
            <w:vAlign w:val="center"/>
          </w:tcPr>
          <w:p>
            <w:pPr>
              <w:pStyle w:val="11"/>
              <w:spacing w:before="150" w:line="360" w:lineRule="auto"/>
              <w:ind w:left="145" w:right="138"/>
              <w:jc w:val="center"/>
              <w:rPr>
                <w:rFonts w:ascii="Times New Roman"/>
                <w:sz w:val="28"/>
              </w:rPr>
            </w:pPr>
            <w:r>
              <w:rPr>
                <w:rFonts w:ascii="Times New Roman"/>
                <w:sz w:val="28"/>
              </w:rPr>
              <w:t>2mL</w:t>
            </w:r>
          </w:p>
        </w:tc>
        <w:tc>
          <w:tcPr>
            <w:tcW w:w="1478" w:type="dxa"/>
            <w:vAlign w:val="center"/>
          </w:tcPr>
          <w:p>
            <w:pPr>
              <w:pStyle w:val="11"/>
              <w:spacing w:before="132" w:line="360" w:lineRule="auto"/>
              <w:ind w:left="76" w:right="67"/>
              <w:jc w:val="center"/>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38" w:type="dxa"/>
            <w:vAlign w:val="center"/>
          </w:tcPr>
          <w:p>
            <w:pPr>
              <w:pStyle w:val="11"/>
              <w:spacing w:before="2" w:line="360" w:lineRule="auto"/>
              <w:jc w:val="center"/>
              <w:rPr>
                <w:rFonts w:ascii="Microsoft JhengHei"/>
                <w:b/>
                <w:sz w:val="25"/>
              </w:rPr>
            </w:pPr>
          </w:p>
          <w:p>
            <w:pPr>
              <w:pStyle w:val="11"/>
              <w:spacing w:before="1" w:line="360" w:lineRule="auto"/>
              <w:ind w:left="8"/>
              <w:jc w:val="center"/>
              <w:rPr>
                <w:rFonts w:ascii="Times New Roman"/>
                <w:sz w:val="28"/>
              </w:rPr>
            </w:pPr>
            <w:r>
              <w:rPr>
                <w:rFonts w:ascii="Times New Roman"/>
                <w:sz w:val="28"/>
              </w:rPr>
              <w:t>6</w:t>
            </w:r>
          </w:p>
        </w:tc>
        <w:tc>
          <w:tcPr>
            <w:tcW w:w="1913" w:type="dxa"/>
            <w:vAlign w:val="center"/>
          </w:tcPr>
          <w:p>
            <w:pPr>
              <w:pStyle w:val="11"/>
              <w:spacing w:before="132" w:line="360" w:lineRule="auto"/>
              <w:ind w:left="95" w:right="88"/>
              <w:jc w:val="center"/>
              <w:rPr>
                <w:sz w:val="28"/>
              </w:rPr>
            </w:pPr>
            <w:r>
              <w:rPr>
                <w:rFonts w:hint="eastAsia"/>
                <w:sz w:val="28"/>
              </w:rPr>
              <w:t>微量移液器</w:t>
            </w:r>
          </w:p>
        </w:tc>
        <w:tc>
          <w:tcPr>
            <w:tcW w:w="5057" w:type="dxa"/>
            <w:vAlign w:val="center"/>
          </w:tcPr>
          <w:p>
            <w:pPr>
              <w:pStyle w:val="11"/>
              <w:spacing w:before="1" w:line="360" w:lineRule="auto"/>
              <w:ind w:right="137"/>
              <w:jc w:val="center"/>
              <w:rPr>
                <w:rFonts w:ascii="Times New Roman" w:hAnsi="Times New Roman"/>
                <w:sz w:val="28"/>
              </w:rPr>
            </w:pPr>
            <w:r>
              <w:rPr>
                <w:rFonts w:ascii="Times New Roman" w:hAnsi="Times New Roman"/>
                <w:sz w:val="28"/>
              </w:rPr>
              <w:t>100μL</w:t>
            </w:r>
          </w:p>
        </w:tc>
        <w:tc>
          <w:tcPr>
            <w:tcW w:w="1478" w:type="dxa"/>
            <w:vAlign w:val="center"/>
          </w:tcPr>
          <w:p>
            <w:pPr>
              <w:pStyle w:val="11"/>
              <w:spacing w:before="2" w:line="360" w:lineRule="auto"/>
              <w:jc w:val="center"/>
              <w:rPr>
                <w:rFonts w:ascii="Microsoft JhengHei"/>
                <w:b/>
                <w:sz w:val="24"/>
              </w:rPr>
            </w:pPr>
          </w:p>
          <w:p>
            <w:pPr>
              <w:pStyle w:val="11"/>
              <w:spacing w:line="360" w:lineRule="auto"/>
              <w:ind w:left="76" w:right="67"/>
              <w:jc w:val="center"/>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50" w:line="360" w:lineRule="auto"/>
              <w:ind w:left="8"/>
              <w:jc w:val="center"/>
              <w:rPr>
                <w:rFonts w:ascii="Times New Roman"/>
                <w:sz w:val="28"/>
              </w:rPr>
            </w:pPr>
            <w:r>
              <w:rPr>
                <w:rFonts w:ascii="Times New Roman"/>
                <w:sz w:val="28"/>
              </w:rPr>
              <w:t>7</w:t>
            </w:r>
          </w:p>
        </w:tc>
        <w:tc>
          <w:tcPr>
            <w:tcW w:w="1913" w:type="dxa"/>
            <w:vAlign w:val="center"/>
          </w:tcPr>
          <w:p>
            <w:pPr>
              <w:pStyle w:val="11"/>
              <w:spacing w:before="134" w:line="360" w:lineRule="auto"/>
              <w:ind w:left="95" w:right="86"/>
              <w:jc w:val="center"/>
              <w:rPr>
                <w:sz w:val="28"/>
              </w:rPr>
            </w:pPr>
            <w:r>
              <w:rPr>
                <w:rFonts w:hint="eastAsia"/>
                <w:sz w:val="28"/>
              </w:rPr>
              <w:t>具塞量筒</w:t>
            </w:r>
          </w:p>
        </w:tc>
        <w:tc>
          <w:tcPr>
            <w:tcW w:w="5057" w:type="dxa"/>
            <w:vAlign w:val="center"/>
          </w:tcPr>
          <w:p>
            <w:pPr>
              <w:pStyle w:val="11"/>
              <w:spacing w:before="150" w:line="360" w:lineRule="auto"/>
              <w:ind w:left="145" w:right="138"/>
              <w:jc w:val="center"/>
              <w:rPr>
                <w:rFonts w:ascii="Times New Roman"/>
                <w:sz w:val="28"/>
              </w:rPr>
            </w:pPr>
            <w:r>
              <w:rPr>
                <w:rFonts w:ascii="Times New Roman"/>
                <w:sz w:val="28"/>
              </w:rPr>
              <w:t>50 mL</w:t>
            </w:r>
          </w:p>
        </w:tc>
        <w:tc>
          <w:tcPr>
            <w:tcW w:w="147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49" w:line="360" w:lineRule="auto"/>
              <w:ind w:left="119" w:right="108"/>
              <w:jc w:val="center"/>
              <w:rPr>
                <w:rFonts w:ascii="Times New Roman"/>
                <w:sz w:val="28"/>
              </w:rPr>
            </w:pPr>
            <w:r>
              <w:rPr>
                <w:rFonts w:ascii="Times New Roman"/>
                <w:sz w:val="28"/>
              </w:rPr>
              <w:t>8</w:t>
            </w:r>
          </w:p>
        </w:tc>
        <w:tc>
          <w:tcPr>
            <w:tcW w:w="1913" w:type="dxa"/>
            <w:vAlign w:val="center"/>
          </w:tcPr>
          <w:p>
            <w:pPr>
              <w:pStyle w:val="11"/>
              <w:spacing w:before="133" w:line="360" w:lineRule="auto"/>
              <w:ind w:left="95" w:right="88"/>
              <w:jc w:val="center"/>
              <w:rPr>
                <w:sz w:val="28"/>
              </w:rPr>
            </w:pPr>
            <w:r>
              <w:rPr>
                <w:rFonts w:hint="eastAsia"/>
                <w:sz w:val="28"/>
              </w:rPr>
              <w:t>具塞刻度试管</w:t>
            </w:r>
          </w:p>
        </w:tc>
        <w:tc>
          <w:tcPr>
            <w:tcW w:w="5057" w:type="dxa"/>
            <w:vAlign w:val="center"/>
          </w:tcPr>
          <w:p>
            <w:pPr>
              <w:pStyle w:val="11"/>
              <w:spacing w:before="149" w:line="360" w:lineRule="auto"/>
              <w:ind w:left="145" w:right="138"/>
              <w:jc w:val="center"/>
              <w:rPr>
                <w:rFonts w:ascii="Times New Roman"/>
                <w:sz w:val="28"/>
              </w:rPr>
            </w:pPr>
            <w:r>
              <w:rPr>
                <w:rFonts w:ascii="Times New Roman"/>
                <w:sz w:val="28"/>
              </w:rPr>
              <w:t>10 mL</w:t>
            </w:r>
          </w:p>
        </w:tc>
        <w:tc>
          <w:tcPr>
            <w:tcW w:w="147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51" w:line="360" w:lineRule="auto"/>
              <w:ind w:left="120" w:right="107"/>
              <w:jc w:val="center"/>
              <w:rPr>
                <w:rFonts w:ascii="Times New Roman"/>
                <w:sz w:val="28"/>
              </w:rPr>
            </w:pPr>
            <w:r>
              <w:rPr>
                <w:rFonts w:ascii="Times New Roman"/>
                <w:sz w:val="28"/>
              </w:rPr>
              <w:t>9</w:t>
            </w:r>
          </w:p>
        </w:tc>
        <w:tc>
          <w:tcPr>
            <w:tcW w:w="1913" w:type="dxa"/>
            <w:vAlign w:val="center"/>
          </w:tcPr>
          <w:p>
            <w:pPr>
              <w:pStyle w:val="11"/>
              <w:spacing w:before="133" w:line="360" w:lineRule="auto"/>
              <w:ind w:left="95" w:right="86"/>
              <w:jc w:val="center"/>
              <w:rPr>
                <w:sz w:val="28"/>
              </w:rPr>
            </w:pPr>
            <w:r>
              <w:rPr>
                <w:rFonts w:hint="eastAsia"/>
                <w:sz w:val="28"/>
              </w:rPr>
              <w:t>微孔滤膜</w:t>
            </w:r>
          </w:p>
        </w:tc>
        <w:tc>
          <w:tcPr>
            <w:tcW w:w="5057" w:type="dxa"/>
            <w:vAlign w:val="center"/>
          </w:tcPr>
          <w:p>
            <w:pPr>
              <w:pStyle w:val="11"/>
              <w:spacing w:before="151" w:line="360" w:lineRule="auto"/>
              <w:ind w:left="2063"/>
              <w:jc w:val="both"/>
              <w:rPr>
                <w:rFonts w:ascii="Times New Roman" w:hAnsi="Times New Roman"/>
                <w:sz w:val="28"/>
              </w:rPr>
            </w:pPr>
            <w:r>
              <w:rPr>
                <w:rFonts w:ascii="Times New Roman" w:hAnsi="Times New Roman"/>
                <w:sz w:val="28"/>
              </w:rPr>
              <w:t>0.22 μm</w:t>
            </w:r>
          </w:p>
        </w:tc>
        <w:tc>
          <w:tcPr>
            <w:tcW w:w="1478" w:type="dxa"/>
            <w:vAlign w:val="center"/>
          </w:tcPr>
          <w:p>
            <w:pPr>
              <w:pStyle w:val="11"/>
              <w:spacing w:before="133" w:line="360" w:lineRule="auto"/>
              <w:ind w:left="76" w:right="67"/>
              <w:jc w:val="center"/>
              <w:rPr>
                <w:sz w:val="28"/>
              </w:rPr>
            </w:pPr>
            <w:r>
              <w:rPr>
                <w:rFonts w:hint="eastAsia"/>
                <w:sz w:val="28"/>
              </w:rPr>
              <w:t>有机膜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51" w:line="360" w:lineRule="auto"/>
              <w:ind w:left="120" w:right="107"/>
              <w:jc w:val="center"/>
              <w:rPr>
                <w:rFonts w:ascii="Times New Roman"/>
                <w:sz w:val="28"/>
              </w:rPr>
            </w:pPr>
            <w:r>
              <w:rPr>
                <w:rFonts w:ascii="Times New Roman"/>
                <w:sz w:val="28"/>
              </w:rPr>
              <w:t>10</w:t>
            </w:r>
          </w:p>
        </w:tc>
        <w:tc>
          <w:tcPr>
            <w:tcW w:w="1913" w:type="dxa"/>
            <w:vAlign w:val="center"/>
          </w:tcPr>
          <w:p>
            <w:pPr>
              <w:pStyle w:val="11"/>
              <w:spacing w:before="133" w:line="360" w:lineRule="auto"/>
              <w:ind w:left="95" w:right="86"/>
              <w:jc w:val="center"/>
              <w:rPr>
                <w:sz w:val="28"/>
              </w:rPr>
            </w:pPr>
            <w:r>
              <w:rPr>
                <w:rFonts w:hint="eastAsia"/>
                <w:sz w:val="28"/>
              </w:rPr>
              <w:t>离心管</w:t>
            </w:r>
          </w:p>
        </w:tc>
        <w:tc>
          <w:tcPr>
            <w:tcW w:w="5057" w:type="dxa"/>
            <w:vAlign w:val="center"/>
          </w:tcPr>
          <w:p>
            <w:pPr>
              <w:pStyle w:val="11"/>
              <w:spacing w:before="151" w:line="360" w:lineRule="auto"/>
              <w:ind w:left="2063"/>
              <w:jc w:val="both"/>
              <w:rPr>
                <w:rFonts w:ascii="Times New Roman" w:hAnsi="Times New Roman"/>
                <w:sz w:val="28"/>
              </w:rPr>
            </w:pPr>
            <w:r>
              <w:rPr>
                <w:rFonts w:ascii="Times New Roman" w:hAnsi="Times New Roman"/>
                <w:sz w:val="28"/>
              </w:rPr>
              <w:t>50mL</w:t>
            </w:r>
          </w:p>
        </w:tc>
        <w:tc>
          <w:tcPr>
            <w:tcW w:w="1478" w:type="dxa"/>
            <w:vAlign w:val="center"/>
          </w:tcPr>
          <w:p>
            <w:pPr>
              <w:pStyle w:val="11"/>
              <w:spacing w:before="133" w:line="360" w:lineRule="auto"/>
              <w:ind w:left="76" w:right="67"/>
              <w:jc w:val="center"/>
              <w:rPr>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838" w:type="dxa"/>
            <w:vAlign w:val="center"/>
          </w:tcPr>
          <w:p>
            <w:pPr>
              <w:pStyle w:val="11"/>
              <w:spacing w:before="151" w:line="360" w:lineRule="auto"/>
              <w:ind w:left="120" w:right="107"/>
              <w:jc w:val="center"/>
              <w:rPr>
                <w:rFonts w:ascii="Times New Roman"/>
                <w:sz w:val="28"/>
              </w:rPr>
            </w:pPr>
            <w:r>
              <w:rPr>
                <w:rFonts w:ascii="Times New Roman"/>
                <w:sz w:val="28"/>
              </w:rPr>
              <w:t>11</w:t>
            </w:r>
          </w:p>
        </w:tc>
        <w:tc>
          <w:tcPr>
            <w:tcW w:w="1913" w:type="dxa"/>
            <w:vAlign w:val="center"/>
          </w:tcPr>
          <w:p>
            <w:pPr>
              <w:pStyle w:val="11"/>
              <w:spacing w:before="133" w:line="360" w:lineRule="auto"/>
              <w:ind w:left="95" w:right="86"/>
              <w:jc w:val="center"/>
              <w:rPr>
                <w:sz w:val="28"/>
              </w:rPr>
            </w:pPr>
            <w:r>
              <w:rPr>
                <w:rFonts w:hint="eastAsia"/>
                <w:sz w:val="28"/>
              </w:rPr>
              <w:t>吸量管</w:t>
            </w:r>
          </w:p>
        </w:tc>
        <w:tc>
          <w:tcPr>
            <w:tcW w:w="5057" w:type="dxa"/>
            <w:vAlign w:val="center"/>
          </w:tcPr>
          <w:p>
            <w:pPr>
              <w:pStyle w:val="11"/>
              <w:spacing w:before="151" w:line="360" w:lineRule="auto"/>
              <w:ind w:firstLine="1120" w:firstLineChars="400"/>
              <w:jc w:val="both"/>
              <w:rPr>
                <w:rFonts w:hint="default" w:ascii="Times New Roman" w:hAnsi="Times New Roman" w:eastAsia="宋体"/>
                <w:sz w:val="28"/>
                <w:lang w:val="en-US" w:eastAsia="zh-CN"/>
              </w:rPr>
            </w:pPr>
            <w:r>
              <w:rPr>
                <w:rFonts w:hint="eastAsia" w:ascii="Times New Roman" w:hAnsi="Times New Roman"/>
                <w:sz w:val="28"/>
                <w:lang w:val="en-US" w:eastAsia="zh-CN"/>
              </w:rPr>
              <w:t>2</w:t>
            </w:r>
            <w:r>
              <w:rPr>
                <w:rFonts w:ascii="Times New Roman" w:hAnsi="Times New Roman"/>
                <w:sz w:val="28"/>
              </w:rPr>
              <w:t>mL</w:t>
            </w:r>
            <w:r>
              <w:rPr>
                <w:rFonts w:hint="eastAsia" w:ascii="Times New Roman" w:hAnsi="Times New Roman"/>
                <w:sz w:val="28"/>
                <w:lang w:eastAsia="zh-CN"/>
              </w:rPr>
              <w:t>、</w:t>
            </w:r>
            <w:r>
              <w:rPr>
                <w:rFonts w:ascii="Times New Roman" w:hAnsi="Times New Roman"/>
                <w:sz w:val="28"/>
              </w:rPr>
              <w:t>5mL</w:t>
            </w:r>
            <w:r>
              <w:rPr>
                <w:rFonts w:hint="eastAsia" w:ascii="Times New Roman" w:hAnsi="Times New Roman"/>
                <w:sz w:val="28"/>
                <w:lang w:val="en-US" w:eastAsia="zh-CN"/>
              </w:rPr>
              <w:t>和20</w:t>
            </w:r>
            <w:r>
              <w:rPr>
                <w:rFonts w:ascii="Times New Roman" w:hAnsi="Times New Roman"/>
                <w:sz w:val="28"/>
              </w:rPr>
              <w:t>mL</w:t>
            </w:r>
          </w:p>
        </w:tc>
        <w:tc>
          <w:tcPr>
            <w:tcW w:w="1478" w:type="dxa"/>
            <w:vAlign w:val="center"/>
          </w:tcPr>
          <w:p>
            <w:pPr>
              <w:pStyle w:val="11"/>
              <w:spacing w:before="133" w:line="360" w:lineRule="auto"/>
              <w:ind w:left="76" w:right="67"/>
              <w:jc w:val="center"/>
              <w:rPr>
                <w:sz w:val="28"/>
              </w:rPr>
            </w:pPr>
          </w:p>
        </w:tc>
      </w:tr>
    </w:tbl>
    <w:p>
      <w:pPr>
        <w:pStyle w:val="3"/>
        <w:tabs>
          <w:tab w:val="left" w:pos="710"/>
        </w:tabs>
        <w:spacing w:before="40" w:line="360" w:lineRule="auto"/>
        <w:ind w:left="0" w:firstLine="560" w:firstLineChars="200"/>
        <w:rPr>
          <w:rFonts w:eastAsia="宋体"/>
        </w:rPr>
      </w:pPr>
      <w:r>
        <w:t>2.</w:t>
      </w:r>
      <w:r>
        <w:rPr>
          <w:rFonts w:hint="eastAsia"/>
        </w:rPr>
        <w:t>重</w:t>
      </w:r>
      <w:r>
        <w:rPr>
          <w:rFonts w:hint="eastAsia" w:eastAsia="宋体"/>
        </w:rPr>
        <w:t>金属污染物检测项目</w:t>
      </w:r>
    </w:p>
    <w:tbl>
      <w:tblPr>
        <w:tblStyle w:val="5"/>
        <w:tblW w:w="928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0"/>
        <w:gridCol w:w="2292"/>
        <w:gridCol w:w="3866"/>
        <w:gridCol w:w="2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10" w:type="dxa"/>
            <w:vAlign w:val="center"/>
          </w:tcPr>
          <w:p>
            <w:pPr>
              <w:pStyle w:val="11"/>
              <w:spacing w:before="132" w:line="360" w:lineRule="auto"/>
              <w:ind w:left="156" w:right="144"/>
              <w:jc w:val="center"/>
              <w:rPr>
                <w:sz w:val="28"/>
              </w:rPr>
            </w:pPr>
            <w:r>
              <w:rPr>
                <w:rFonts w:hint="eastAsia"/>
                <w:sz w:val="28"/>
              </w:rPr>
              <w:t>序号</w:t>
            </w:r>
          </w:p>
        </w:tc>
        <w:tc>
          <w:tcPr>
            <w:tcW w:w="2292" w:type="dxa"/>
            <w:vAlign w:val="center"/>
          </w:tcPr>
          <w:p>
            <w:pPr>
              <w:pStyle w:val="11"/>
              <w:spacing w:before="132" w:line="360" w:lineRule="auto"/>
              <w:ind w:left="145" w:right="133"/>
              <w:jc w:val="center"/>
              <w:rPr>
                <w:sz w:val="28"/>
              </w:rPr>
            </w:pPr>
            <w:r>
              <w:rPr>
                <w:rFonts w:hint="eastAsia"/>
                <w:sz w:val="28"/>
              </w:rPr>
              <w:t>名称</w:t>
            </w:r>
          </w:p>
        </w:tc>
        <w:tc>
          <w:tcPr>
            <w:tcW w:w="3866" w:type="dxa"/>
            <w:vAlign w:val="center"/>
          </w:tcPr>
          <w:p>
            <w:pPr>
              <w:pStyle w:val="11"/>
              <w:spacing w:before="132" w:line="360" w:lineRule="auto"/>
              <w:ind w:left="494" w:right="483"/>
              <w:jc w:val="center"/>
              <w:rPr>
                <w:sz w:val="28"/>
              </w:rPr>
            </w:pPr>
            <w:r>
              <w:rPr>
                <w:rFonts w:hint="eastAsia"/>
                <w:sz w:val="28"/>
              </w:rPr>
              <w:t>型号规格</w:t>
            </w:r>
          </w:p>
        </w:tc>
        <w:tc>
          <w:tcPr>
            <w:tcW w:w="2218" w:type="dxa"/>
            <w:vAlign w:val="center"/>
          </w:tcPr>
          <w:p>
            <w:pPr>
              <w:pStyle w:val="11"/>
              <w:spacing w:before="132" w:line="360" w:lineRule="auto"/>
              <w:ind w:left="142" w:right="131"/>
              <w:jc w:val="center"/>
              <w:rPr>
                <w:sz w:val="28"/>
              </w:rPr>
            </w:pPr>
            <w:r>
              <w:rPr>
                <w:rFonts w:hint="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 w:type="dxa"/>
            <w:vAlign w:val="center"/>
          </w:tcPr>
          <w:p>
            <w:pPr>
              <w:pStyle w:val="11"/>
              <w:spacing w:before="150" w:line="360" w:lineRule="auto"/>
              <w:ind w:left="8"/>
              <w:jc w:val="center"/>
              <w:rPr>
                <w:rFonts w:ascii="Times New Roman"/>
                <w:sz w:val="28"/>
              </w:rPr>
            </w:pPr>
            <w:r>
              <w:rPr>
                <w:rFonts w:ascii="Times New Roman"/>
                <w:sz w:val="28"/>
              </w:rPr>
              <w:t>1</w:t>
            </w:r>
          </w:p>
        </w:tc>
        <w:tc>
          <w:tcPr>
            <w:tcW w:w="2292" w:type="dxa"/>
            <w:vAlign w:val="center"/>
          </w:tcPr>
          <w:p>
            <w:pPr>
              <w:pStyle w:val="11"/>
              <w:spacing w:before="132" w:line="360" w:lineRule="auto"/>
              <w:ind w:left="145" w:right="136"/>
              <w:jc w:val="center"/>
              <w:rPr>
                <w:sz w:val="28"/>
              </w:rPr>
            </w:pPr>
            <w:r>
              <w:rPr>
                <w:rFonts w:hint="eastAsia"/>
                <w:sz w:val="28"/>
              </w:rPr>
              <w:t>电子天平</w:t>
            </w:r>
          </w:p>
        </w:tc>
        <w:tc>
          <w:tcPr>
            <w:tcW w:w="3866" w:type="dxa"/>
            <w:vAlign w:val="center"/>
          </w:tcPr>
          <w:p>
            <w:pPr>
              <w:pStyle w:val="11"/>
              <w:spacing w:before="132" w:line="360" w:lineRule="auto"/>
              <w:ind w:left="493" w:right="483"/>
              <w:jc w:val="center"/>
              <w:rPr>
                <w:rFonts w:ascii="Times New Roman" w:eastAsia="Times New Roman"/>
                <w:sz w:val="28"/>
              </w:rPr>
            </w:pPr>
            <w:r>
              <w:rPr>
                <w:rFonts w:hint="eastAsia"/>
                <w:sz w:val="28"/>
              </w:rPr>
              <w:t>感量</w:t>
            </w:r>
            <w:r>
              <w:rPr>
                <w:sz w:val="28"/>
              </w:rPr>
              <w:t xml:space="preserve"> </w:t>
            </w:r>
            <w:r>
              <w:rPr>
                <w:rFonts w:ascii="Times New Roman" w:eastAsia="Times New Roman"/>
                <w:sz w:val="28"/>
              </w:rPr>
              <w:t>0.0001</w:t>
            </w:r>
          </w:p>
        </w:tc>
        <w:tc>
          <w:tcPr>
            <w:tcW w:w="2218" w:type="dxa"/>
            <w:vAlign w:val="center"/>
          </w:tcPr>
          <w:p>
            <w:pPr>
              <w:pStyle w:val="11"/>
              <w:spacing w:before="132" w:line="360" w:lineRule="auto"/>
              <w:ind w:left="142" w:right="133"/>
              <w:jc w:val="center"/>
              <w:rPr>
                <w:sz w:val="28"/>
              </w:rPr>
            </w:pPr>
            <w:r>
              <w:rPr>
                <w:rFonts w:ascii="Times New Roman" w:eastAsia="Times New Roman"/>
                <w:sz w:val="28"/>
              </w:rPr>
              <w:t xml:space="preserve">2-3 </w:t>
            </w:r>
            <w:r>
              <w:rPr>
                <w:rFonts w:hint="eastAsia"/>
                <w:sz w:val="28"/>
              </w:rPr>
              <w:t>人共用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910" w:type="dxa"/>
            <w:vAlign w:val="center"/>
          </w:tcPr>
          <w:p>
            <w:pPr>
              <w:pStyle w:val="11"/>
              <w:spacing w:before="2" w:line="360" w:lineRule="auto"/>
              <w:jc w:val="center"/>
              <w:rPr>
                <w:rFonts w:ascii="Microsoft JhengHei"/>
                <w:b/>
                <w:sz w:val="25"/>
              </w:rPr>
            </w:pPr>
          </w:p>
          <w:p>
            <w:pPr>
              <w:pStyle w:val="11"/>
              <w:spacing w:line="360" w:lineRule="auto"/>
              <w:ind w:left="8"/>
              <w:jc w:val="center"/>
              <w:rPr>
                <w:rFonts w:ascii="Times New Roman"/>
                <w:sz w:val="28"/>
              </w:rPr>
            </w:pPr>
            <w:r>
              <w:rPr>
                <w:rFonts w:ascii="Times New Roman"/>
                <w:sz w:val="28"/>
              </w:rPr>
              <w:t>2</w:t>
            </w:r>
          </w:p>
        </w:tc>
        <w:tc>
          <w:tcPr>
            <w:tcW w:w="2292" w:type="dxa"/>
            <w:vAlign w:val="center"/>
          </w:tcPr>
          <w:p>
            <w:pPr>
              <w:pStyle w:val="11"/>
              <w:spacing w:before="134" w:line="360" w:lineRule="auto"/>
              <w:ind w:left="145" w:right="136"/>
              <w:jc w:val="center"/>
              <w:rPr>
                <w:rFonts w:ascii="Microsoft JhengHei"/>
                <w:b/>
                <w:sz w:val="14"/>
              </w:rPr>
            </w:pPr>
            <w:r>
              <w:rPr>
                <w:rFonts w:hint="eastAsia"/>
                <w:sz w:val="28"/>
              </w:rPr>
              <w:t>原子吸收分光光</w:t>
            </w:r>
          </w:p>
          <w:p>
            <w:pPr>
              <w:pStyle w:val="11"/>
              <w:spacing w:before="1" w:line="360" w:lineRule="auto"/>
              <w:ind w:left="145" w:right="133"/>
              <w:jc w:val="center"/>
              <w:rPr>
                <w:sz w:val="28"/>
              </w:rPr>
            </w:pPr>
            <w:r>
              <w:rPr>
                <w:rFonts w:hint="eastAsia"/>
                <w:sz w:val="28"/>
              </w:rPr>
              <w:t>度计</w:t>
            </w:r>
          </w:p>
        </w:tc>
        <w:tc>
          <w:tcPr>
            <w:tcW w:w="3866" w:type="dxa"/>
            <w:vAlign w:val="center"/>
          </w:tcPr>
          <w:p>
            <w:pPr>
              <w:pStyle w:val="11"/>
              <w:spacing w:line="360" w:lineRule="auto"/>
              <w:ind w:right="483"/>
              <w:jc w:val="center"/>
              <w:rPr>
                <w:sz w:val="28"/>
              </w:rPr>
            </w:pPr>
            <w:r>
              <w:rPr>
                <w:sz w:val="28"/>
              </w:rPr>
              <w:t xml:space="preserve">     </w:t>
            </w:r>
            <w:r>
              <w:rPr>
                <w:rFonts w:hint="eastAsia"/>
                <w:sz w:val="28"/>
              </w:rPr>
              <w:t>单火焰，配备</w:t>
            </w:r>
            <w:r>
              <w:rPr>
                <w:sz w:val="28"/>
              </w:rPr>
              <w:t xml:space="preserve">Pb </w:t>
            </w:r>
            <w:r>
              <w:rPr>
                <w:rFonts w:hint="eastAsia"/>
                <w:sz w:val="28"/>
              </w:rPr>
              <w:t>空心阴极灯</w:t>
            </w:r>
          </w:p>
        </w:tc>
        <w:tc>
          <w:tcPr>
            <w:tcW w:w="2218" w:type="dxa"/>
            <w:vAlign w:val="center"/>
          </w:tcPr>
          <w:p>
            <w:pPr>
              <w:pStyle w:val="11"/>
              <w:spacing w:before="4" w:line="360" w:lineRule="auto"/>
              <w:jc w:val="center"/>
              <w:rPr>
                <w:rFonts w:ascii="Microsoft JhengHei"/>
                <w:b/>
                <w:sz w:val="24"/>
              </w:rPr>
            </w:pPr>
          </w:p>
          <w:p>
            <w:pPr>
              <w:pStyle w:val="11"/>
              <w:spacing w:line="360" w:lineRule="auto"/>
              <w:ind w:left="142" w:right="131"/>
              <w:jc w:val="center"/>
              <w:rPr>
                <w:sz w:val="28"/>
              </w:rPr>
            </w:pPr>
            <w:r>
              <w:rPr>
                <w:rFonts w:hint="eastAsia"/>
                <w:sz w:val="28"/>
              </w:rPr>
              <w:t>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910" w:type="dxa"/>
            <w:vAlign w:val="center"/>
          </w:tcPr>
          <w:p>
            <w:pPr>
              <w:pStyle w:val="11"/>
              <w:spacing w:before="149" w:line="360" w:lineRule="auto"/>
              <w:ind w:left="8"/>
              <w:jc w:val="center"/>
              <w:rPr>
                <w:rFonts w:ascii="Times New Roman"/>
                <w:sz w:val="28"/>
              </w:rPr>
            </w:pPr>
            <w:r>
              <w:rPr>
                <w:rFonts w:ascii="Times New Roman"/>
                <w:sz w:val="28"/>
              </w:rPr>
              <w:t>3</w:t>
            </w:r>
          </w:p>
        </w:tc>
        <w:tc>
          <w:tcPr>
            <w:tcW w:w="2292" w:type="dxa"/>
            <w:vAlign w:val="center"/>
          </w:tcPr>
          <w:p>
            <w:pPr>
              <w:pStyle w:val="11"/>
              <w:spacing w:before="133" w:line="360" w:lineRule="auto"/>
              <w:ind w:left="145" w:right="136"/>
              <w:jc w:val="center"/>
              <w:rPr>
                <w:sz w:val="28"/>
              </w:rPr>
            </w:pPr>
            <w:r>
              <w:rPr>
                <w:rFonts w:hint="eastAsia"/>
                <w:sz w:val="28"/>
              </w:rPr>
              <w:t>电脑主机</w:t>
            </w:r>
          </w:p>
        </w:tc>
        <w:tc>
          <w:tcPr>
            <w:tcW w:w="3866" w:type="dxa"/>
            <w:vAlign w:val="center"/>
          </w:tcPr>
          <w:p>
            <w:pPr>
              <w:pStyle w:val="11"/>
              <w:spacing w:before="133" w:line="360" w:lineRule="auto"/>
              <w:ind w:right="483"/>
              <w:jc w:val="center"/>
              <w:rPr>
                <w:sz w:val="28"/>
              </w:rPr>
            </w:pPr>
            <w:r>
              <w:rPr>
                <w:rFonts w:hint="eastAsia"/>
                <w:sz w:val="28"/>
              </w:rPr>
              <w:t>通用</w:t>
            </w:r>
          </w:p>
        </w:tc>
        <w:tc>
          <w:tcPr>
            <w:tcW w:w="2218" w:type="dxa"/>
            <w:vAlign w:val="center"/>
          </w:tcPr>
          <w:p>
            <w:pPr>
              <w:pStyle w:val="11"/>
              <w:spacing w:before="133" w:line="360" w:lineRule="auto"/>
              <w:ind w:left="142" w:right="131"/>
              <w:jc w:val="center"/>
              <w:rPr>
                <w:sz w:val="28"/>
              </w:rPr>
            </w:pPr>
            <w:r>
              <w:rPr>
                <w:rFonts w:hint="eastAsia"/>
                <w:sz w:val="28"/>
              </w:rPr>
              <w:t>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910" w:type="dxa"/>
            <w:vAlign w:val="center"/>
          </w:tcPr>
          <w:p>
            <w:pPr>
              <w:pStyle w:val="11"/>
              <w:spacing w:before="151" w:line="360" w:lineRule="auto"/>
              <w:ind w:left="8"/>
              <w:jc w:val="center"/>
              <w:rPr>
                <w:rFonts w:ascii="Times New Roman"/>
                <w:sz w:val="28"/>
              </w:rPr>
            </w:pPr>
            <w:r>
              <w:rPr>
                <w:rFonts w:ascii="Times New Roman"/>
                <w:sz w:val="28"/>
              </w:rPr>
              <w:t>4</w:t>
            </w:r>
          </w:p>
        </w:tc>
        <w:tc>
          <w:tcPr>
            <w:tcW w:w="2292" w:type="dxa"/>
            <w:vAlign w:val="center"/>
          </w:tcPr>
          <w:p>
            <w:pPr>
              <w:pStyle w:val="11"/>
              <w:spacing w:before="133" w:line="360" w:lineRule="auto"/>
              <w:ind w:left="143" w:right="136"/>
              <w:jc w:val="center"/>
              <w:rPr>
                <w:sz w:val="28"/>
              </w:rPr>
            </w:pPr>
            <w:r>
              <w:rPr>
                <w:rFonts w:hint="eastAsia"/>
                <w:sz w:val="28"/>
              </w:rPr>
              <w:t>打印机</w:t>
            </w:r>
          </w:p>
        </w:tc>
        <w:tc>
          <w:tcPr>
            <w:tcW w:w="3866" w:type="dxa"/>
            <w:vAlign w:val="center"/>
          </w:tcPr>
          <w:p>
            <w:pPr>
              <w:pStyle w:val="11"/>
              <w:spacing w:before="133" w:line="360" w:lineRule="auto"/>
              <w:ind w:right="483"/>
              <w:jc w:val="center"/>
              <w:rPr>
                <w:sz w:val="28"/>
              </w:rPr>
            </w:pPr>
            <w:r>
              <w:rPr>
                <w:rFonts w:hint="eastAsia"/>
                <w:sz w:val="28"/>
              </w:rPr>
              <w:t>通用</w:t>
            </w:r>
          </w:p>
        </w:tc>
        <w:tc>
          <w:tcPr>
            <w:tcW w:w="2218" w:type="dxa"/>
            <w:vAlign w:val="center"/>
          </w:tcPr>
          <w:p>
            <w:pPr>
              <w:pStyle w:val="11"/>
              <w:spacing w:before="133" w:line="360" w:lineRule="auto"/>
              <w:ind w:left="142" w:right="131"/>
              <w:jc w:val="center"/>
              <w:rPr>
                <w:sz w:val="28"/>
              </w:rPr>
            </w:pPr>
            <w:r>
              <w:rPr>
                <w:rFonts w:hint="eastAsia"/>
                <w:sz w:val="28"/>
              </w:rPr>
              <w:t>共用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10" w:type="dxa"/>
            <w:vAlign w:val="center"/>
          </w:tcPr>
          <w:p>
            <w:pPr>
              <w:pStyle w:val="11"/>
              <w:spacing w:before="151" w:line="360" w:lineRule="auto"/>
              <w:ind w:left="8"/>
              <w:jc w:val="center"/>
              <w:rPr>
                <w:rFonts w:ascii="Times New Roman"/>
                <w:sz w:val="28"/>
              </w:rPr>
            </w:pPr>
            <w:r>
              <w:rPr>
                <w:rFonts w:ascii="Times New Roman"/>
                <w:sz w:val="28"/>
              </w:rPr>
              <w:t>5</w:t>
            </w:r>
          </w:p>
        </w:tc>
        <w:tc>
          <w:tcPr>
            <w:tcW w:w="2292" w:type="dxa"/>
            <w:vAlign w:val="center"/>
          </w:tcPr>
          <w:p>
            <w:pPr>
              <w:pStyle w:val="11"/>
              <w:spacing w:before="132" w:line="360" w:lineRule="auto"/>
              <w:ind w:left="143" w:right="136"/>
              <w:jc w:val="center"/>
              <w:rPr>
                <w:sz w:val="28"/>
              </w:rPr>
            </w:pPr>
            <w:r>
              <w:rPr>
                <w:rFonts w:hint="eastAsia"/>
                <w:sz w:val="28"/>
              </w:rPr>
              <w:t>锥形瓶</w:t>
            </w:r>
          </w:p>
        </w:tc>
        <w:tc>
          <w:tcPr>
            <w:tcW w:w="3866" w:type="dxa"/>
            <w:vAlign w:val="center"/>
          </w:tcPr>
          <w:p>
            <w:pPr>
              <w:pStyle w:val="11"/>
              <w:spacing w:before="151" w:line="360" w:lineRule="auto"/>
              <w:ind w:right="483"/>
              <w:jc w:val="center"/>
              <w:rPr>
                <w:rFonts w:ascii="Times New Roman"/>
                <w:sz w:val="28"/>
              </w:rPr>
            </w:pPr>
            <w:r>
              <w:rPr>
                <w:rFonts w:ascii="Times New Roman"/>
                <w:sz w:val="28"/>
              </w:rPr>
              <w:t>250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910" w:type="dxa"/>
            <w:vAlign w:val="center"/>
          </w:tcPr>
          <w:p>
            <w:pPr>
              <w:pStyle w:val="11"/>
              <w:spacing w:before="151" w:line="360" w:lineRule="auto"/>
              <w:ind w:left="8"/>
              <w:jc w:val="center"/>
              <w:rPr>
                <w:rFonts w:ascii="Times New Roman"/>
                <w:sz w:val="28"/>
              </w:rPr>
            </w:pPr>
            <w:r>
              <w:rPr>
                <w:rFonts w:ascii="Times New Roman"/>
                <w:sz w:val="28"/>
              </w:rPr>
              <w:t>6</w:t>
            </w:r>
          </w:p>
        </w:tc>
        <w:tc>
          <w:tcPr>
            <w:tcW w:w="2292" w:type="dxa"/>
            <w:vAlign w:val="center"/>
          </w:tcPr>
          <w:p>
            <w:pPr>
              <w:pStyle w:val="11"/>
              <w:spacing w:before="132" w:line="360" w:lineRule="auto"/>
              <w:ind w:left="145" w:right="136"/>
              <w:jc w:val="center"/>
              <w:rPr>
                <w:sz w:val="28"/>
              </w:rPr>
            </w:pPr>
            <w:r>
              <w:rPr>
                <w:rFonts w:hint="eastAsia"/>
                <w:sz w:val="28"/>
              </w:rPr>
              <w:t>分液漏斗</w:t>
            </w:r>
          </w:p>
        </w:tc>
        <w:tc>
          <w:tcPr>
            <w:tcW w:w="3866" w:type="dxa"/>
            <w:vAlign w:val="center"/>
          </w:tcPr>
          <w:p>
            <w:pPr>
              <w:pStyle w:val="11"/>
              <w:spacing w:before="151" w:line="360" w:lineRule="auto"/>
              <w:ind w:right="483"/>
              <w:jc w:val="center"/>
              <w:rPr>
                <w:rFonts w:ascii="Times New Roman"/>
                <w:sz w:val="28"/>
              </w:rPr>
            </w:pPr>
            <w:r>
              <w:rPr>
                <w:rFonts w:ascii="Times New Roman"/>
                <w:sz w:val="28"/>
              </w:rPr>
              <w:t>125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0" w:type="dxa"/>
            <w:vAlign w:val="center"/>
          </w:tcPr>
          <w:p>
            <w:pPr>
              <w:pStyle w:val="11"/>
              <w:spacing w:before="150" w:line="360" w:lineRule="auto"/>
              <w:ind w:left="8"/>
              <w:jc w:val="center"/>
              <w:rPr>
                <w:rFonts w:ascii="Times New Roman"/>
                <w:sz w:val="28"/>
              </w:rPr>
            </w:pPr>
            <w:r>
              <w:rPr>
                <w:rFonts w:ascii="Times New Roman"/>
                <w:sz w:val="28"/>
              </w:rPr>
              <w:t>7</w:t>
            </w:r>
          </w:p>
        </w:tc>
        <w:tc>
          <w:tcPr>
            <w:tcW w:w="2292" w:type="dxa"/>
            <w:vAlign w:val="center"/>
          </w:tcPr>
          <w:p>
            <w:pPr>
              <w:pStyle w:val="11"/>
              <w:spacing w:before="132" w:line="360" w:lineRule="auto"/>
              <w:ind w:left="143" w:right="136"/>
              <w:jc w:val="center"/>
              <w:rPr>
                <w:sz w:val="28"/>
              </w:rPr>
            </w:pPr>
            <w:r>
              <w:rPr>
                <w:rFonts w:hint="eastAsia"/>
                <w:sz w:val="28"/>
              </w:rPr>
              <w:t>容量瓶</w:t>
            </w:r>
          </w:p>
        </w:tc>
        <w:tc>
          <w:tcPr>
            <w:tcW w:w="3866" w:type="dxa"/>
            <w:vAlign w:val="center"/>
          </w:tcPr>
          <w:p>
            <w:pPr>
              <w:pStyle w:val="11"/>
              <w:spacing w:before="150" w:line="360" w:lineRule="auto"/>
              <w:ind w:right="483"/>
              <w:jc w:val="center"/>
              <w:rPr>
                <w:rFonts w:ascii="Times New Roman"/>
                <w:sz w:val="28"/>
              </w:rPr>
            </w:pPr>
            <w:r>
              <w:rPr>
                <w:rFonts w:ascii="Times New Roman"/>
                <w:sz w:val="28"/>
              </w:rPr>
              <w:t>50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 w:type="dxa"/>
            <w:vAlign w:val="center"/>
          </w:tcPr>
          <w:p>
            <w:pPr>
              <w:pStyle w:val="11"/>
              <w:spacing w:before="150" w:line="360" w:lineRule="auto"/>
              <w:ind w:left="8"/>
              <w:jc w:val="center"/>
              <w:rPr>
                <w:rFonts w:ascii="Times New Roman"/>
                <w:sz w:val="28"/>
              </w:rPr>
            </w:pPr>
            <w:r>
              <w:rPr>
                <w:rFonts w:ascii="Times New Roman"/>
                <w:sz w:val="28"/>
              </w:rPr>
              <w:t>8</w:t>
            </w:r>
          </w:p>
        </w:tc>
        <w:tc>
          <w:tcPr>
            <w:tcW w:w="2292" w:type="dxa"/>
            <w:vAlign w:val="center"/>
          </w:tcPr>
          <w:p>
            <w:pPr>
              <w:pStyle w:val="11"/>
              <w:spacing w:before="134" w:line="360" w:lineRule="auto"/>
              <w:ind w:left="143" w:right="136"/>
              <w:jc w:val="center"/>
              <w:rPr>
                <w:sz w:val="28"/>
              </w:rPr>
            </w:pPr>
            <w:r>
              <w:rPr>
                <w:rFonts w:hint="eastAsia"/>
                <w:sz w:val="28"/>
              </w:rPr>
              <w:t>吸量管</w:t>
            </w:r>
          </w:p>
        </w:tc>
        <w:tc>
          <w:tcPr>
            <w:tcW w:w="3866" w:type="dxa"/>
            <w:vAlign w:val="center"/>
          </w:tcPr>
          <w:p>
            <w:pPr>
              <w:pStyle w:val="11"/>
              <w:spacing w:before="150" w:line="360" w:lineRule="auto"/>
              <w:ind w:firstLine="1400" w:firstLineChars="500"/>
              <w:jc w:val="both"/>
              <w:rPr>
                <w:rFonts w:ascii="Times New Roman"/>
                <w:sz w:val="28"/>
              </w:rPr>
            </w:pPr>
            <w:r>
              <w:rPr>
                <w:rFonts w:ascii="Times New Roman"/>
                <w:sz w:val="28"/>
              </w:rPr>
              <w:t>1.0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0" w:type="dxa"/>
            <w:vAlign w:val="center"/>
          </w:tcPr>
          <w:p>
            <w:pPr>
              <w:pStyle w:val="11"/>
              <w:spacing w:before="149" w:line="360" w:lineRule="auto"/>
              <w:ind w:left="8"/>
              <w:jc w:val="center"/>
              <w:rPr>
                <w:rFonts w:ascii="Times New Roman"/>
                <w:sz w:val="28"/>
              </w:rPr>
            </w:pPr>
            <w:r>
              <w:rPr>
                <w:rFonts w:ascii="Times New Roman"/>
                <w:sz w:val="28"/>
              </w:rPr>
              <w:t>9</w:t>
            </w:r>
          </w:p>
        </w:tc>
        <w:tc>
          <w:tcPr>
            <w:tcW w:w="2292" w:type="dxa"/>
            <w:vAlign w:val="center"/>
          </w:tcPr>
          <w:p>
            <w:pPr>
              <w:pStyle w:val="11"/>
              <w:spacing w:before="133" w:line="360" w:lineRule="auto"/>
              <w:ind w:left="143" w:right="136"/>
              <w:jc w:val="center"/>
              <w:rPr>
                <w:sz w:val="28"/>
              </w:rPr>
            </w:pPr>
            <w:r>
              <w:rPr>
                <w:rFonts w:hint="eastAsia"/>
                <w:sz w:val="28"/>
              </w:rPr>
              <w:t>吸量管</w:t>
            </w:r>
          </w:p>
        </w:tc>
        <w:tc>
          <w:tcPr>
            <w:tcW w:w="3866" w:type="dxa"/>
            <w:vAlign w:val="center"/>
          </w:tcPr>
          <w:p>
            <w:pPr>
              <w:pStyle w:val="11"/>
              <w:spacing w:before="149" w:line="360" w:lineRule="auto"/>
              <w:ind w:firstLine="1400" w:firstLineChars="500"/>
              <w:jc w:val="both"/>
              <w:rPr>
                <w:rFonts w:ascii="Times New Roman"/>
                <w:sz w:val="28"/>
              </w:rPr>
            </w:pPr>
            <w:r>
              <w:rPr>
                <w:rFonts w:ascii="Times New Roman"/>
                <w:sz w:val="28"/>
              </w:rPr>
              <w:t>2.0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10" w:type="dxa"/>
            <w:vAlign w:val="center"/>
          </w:tcPr>
          <w:p>
            <w:pPr>
              <w:pStyle w:val="11"/>
              <w:spacing w:before="151" w:line="360" w:lineRule="auto"/>
              <w:ind w:left="156" w:right="143"/>
              <w:jc w:val="center"/>
              <w:rPr>
                <w:rFonts w:ascii="Times New Roman"/>
                <w:sz w:val="28"/>
              </w:rPr>
            </w:pPr>
            <w:r>
              <w:rPr>
                <w:rFonts w:ascii="Times New Roman"/>
                <w:sz w:val="28"/>
              </w:rPr>
              <w:t>11</w:t>
            </w:r>
          </w:p>
        </w:tc>
        <w:tc>
          <w:tcPr>
            <w:tcW w:w="2292" w:type="dxa"/>
            <w:vAlign w:val="center"/>
          </w:tcPr>
          <w:p>
            <w:pPr>
              <w:pStyle w:val="11"/>
              <w:spacing w:before="133" w:line="360" w:lineRule="auto"/>
              <w:ind w:left="143" w:right="136"/>
              <w:jc w:val="center"/>
              <w:rPr>
                <w:sz w:val="28"/>
              </w:rPr>
            </w:pPr>
            <w:r>
              <w:rPr>
                <w:rFonts w:hint="eastAsia"/>
                <w:sz w:val="28"/>
              </w:rPr>
              <w:t>吸量管</w:t>
            </w:r>
          </w:p>
        </w:tc>
        <w:tc>
          <w:tcPr>
            <w:tcW w:w="3866" w:type="dxa"/>
            <w:vAlign w:val="center"/>
          </w:tcPr>
          <w:p>
            <w:pPr>
              <w:pStyle w:val="11"/>
              <w:spacing w:before="151" w:line="360" w:lineRule="auto"/>
              <w:ind w:firstLine="1400" w:firstLineChars="500"/>
              <w:jc w:val="both"/>
              <w:rPr>
                <w:rFonts w:ascii="Times New Roman"/>
                <w:sz w:val="28"/>
              </w:rPr>
            </w:pPr>
            <w:r>
              <w:rPr>
                <w:rFonts w:ascii="Times New Roman"/>
                <w:sz w:val="28"/>
              </w:rPr>
              <w:t>5.0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10" w:type="dxa"/>
            <w:vAlign w:val="center"/>
          </w:tcPr>
          <w:p>
            <w:pPr>
              <w:pStyle w:val="11"/>
              <w:spacing w:before="151" w:line="360" w:lineRule="auto"/>
              <w:ind w:left="155" w:right="144"/>
              <w:jc w:val="center"/>
              <w:rPr>
                <w:rFonts w:ascii="Times New Roman"/>
                <w:sz w:val="28"/>
              </w:rPr>
            </w:pPr>
            <w:r>
              <w:rPr>
                <w:rFonts w:ascii="Times New Roman"/>
                <w:sz w:val="28"/>
              </w:rPr>
              <w:t>12</w:t>
            </w:r>
          </w:p>
        </w:tc>
        <w:tc>
          <w:tcPr>
            <w:tcW w:w="2292" w:type="dxa"/>
            <w:vAlign w:val="center"/>
          </w:tcPr>
          <w:p>
            <w:pPr>
              <w:pStyle w:val="11"/>
              <w:spacing w:before="132" w:line="360" w:lineRule="auto"/>
              <w:ind w:left="143" w:right="136"/>
              <w:jc w:val="center"/>
              <w:rPr>
                <w:sz w:val="28"/>
              </w:rPr>
            </w:pPr>
            <w:r>
              <w:rPr>
                <w:rFonts w:hint="eastAsia"/>
                <w:sz w:val="28"/>
              </w:rPr>
              <w:t>吸量管</w:t>
            </w:r>
          </w:p>
        </w:tc>
        <w:tc>
          <w:tcPr>
            <w:tcW w:w="3866" w:type="dxa"/>
            <w:vAlign w:val="center"/>
          </w:tcPr>
          <w:p>
            <w:pPr>
              <w:pStyle w:val="11"/>
              <w:spacing w:before="151" w:line="360" w:lineRule="auto"/>
              <w:jc w:val="center"/>
              <w:rPr>
                <w:rFonts w:ascii="Times New Roman"/>
                <w:sz w:val="28"/>
              </w:rPr>
            </w:pPr>
            <w:r>
              <w:rPr>
                <w:rFonts w:ascii="Times New Roman"/>
                <w:sz w:val="28"/>
              </w:rPr>
              <w:t>10.0 mL</w:t>
            </w:r>
          </w:p>
        </w:tc>
        <w:tc>
          <w:tcPr>
            <w:tcW w:w="2218"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910" w:type="dxa"/>
            <w:vAlign w:val="center"/>
          </w:tcPr>
          <w:p>
            <w:pPr>
              <w:pStyle w:val="11"/>
              <w:spacing w:before="151" w:line="360" w:lineRule="auto"/>
              <w:ind w:left="155" w:right="144"/>
              <w:jc w:val="center"/>
              <w:rPr>
                <w:rFonts w:ascii="Times New Roman"/>
                <w:sz w:val="28"/>
              </w:rPr>
            </w:pPr>
            <w:r>
              <w:rPr>
                <w:rFonts w:ascii="Times New Roman"/>
                <w:sz w:val="28"/>
              </w:rPr>
              <w:t>13</w:t>
            </w:r>
          </w:p>
        </w:tc>
        <w:tc>
          <w:tcPr>
            <w:tcW w:w="2292" w:type="dxa"/>
            <w:vAlign w:val="center"/>
          </w:tcPr>
          <w:p>
            <w:pPr>
              <w:pStyle w:val="11"/>
              <w:spacing w:before="132" w:line="360" w:lineRule="auto"/>
              <w:ind w:left="145" w:right="133"/>
              <w:jc w:val="center"/>
              <w:rPr>
                <w:sz w:val="28"/>
              </w:rPr>
            </w:pPr>
            <w:r>
              <w:rPr>
                <w:rFonts w:hint="eastAsia"/>
                <w:sz w:val="28"/>
              </w:rPr>
              <w:t>带塞刻度管</w:t>
            </w:r>
          </w:p>
        </w:tc>
        <w:tc>
          <w:tcPr>
            <w:tcW w:w="3866" w:type="dxa"/>
            <w:vAlign w:val="center"/>
          </w:tcPr>
          <w:p>
            <w:pPr>
              <w:pStyle w:val="11"/>
              <w:spacing w:before="151" w:line="360" w:lineRule="auto"/>
              <w:ind w:right="483"/>
              <w:jc w:val="center"/>
              <w:rPr>
                <w:rFonts w:ascii="Times New Roman"/>
                <w:sz w:val="28"/>
              </w:rPr>
            </w:pPr>
            <w:r>
              <w:rPr>
                <w:rFonts w:ascii="Times New Roman"/>
                <w:sz w:val="28"/>
              </w:rPr>
              <w:t xml:space="preserve">  10 mL</w:t>
            </w:r>
          </w:p>
        </w:tc>
        <w:tc>
          <w:tcPr>
            <w:tcW w:w="2218" w:type="dxa"/>
            <w:vAlign w:val="center"/>
          </w:tcPr>
          <w:p>
            <w:pPr>
              <w:pStyle w:val="11"/>
              <w:spacing w:line="360" w:lineRule="auto"/>
              <w:jc w:val="center"/>
              <w:rPr>
                <w:rFonts w:ascii="Times New Roman"/>
                <w:sz w:val="28"/>
              </w:rPr>
            </w:pPr>
          </w:p>
        </w:tc>
      </w:tr>
    </w:tbl>
    <w:p/>
    <w:p>
      <w:pPr>
        <w:sectPr>
          <w:pgSz w:w="11910" w:h="16840"/>
          <w:pgMar w:top="1580" w:right="1160" w:bottom="1440" w:left="1200" w:header="0" w:footer="1247" w:gutter="0"/>
          <w:cols w:space="720" w:num="1"/>
        </w:sectPr>
      </w:pPr>
    </w:p>
    <w:p>
      <w:pPr>
        <w:spacing w:line="360" w:lineRule="auto"/>
        <w:ind w:firstLine="549" w:firstLineChars="196"/>
        <w:rPr>
          <w:rFonts w:ascii="Microsoft JhengHei"/>
          <w:b/>
          <w:sz w:val="28"/>
        </w:rPr>
      </w:pPr>
      <w:r>
        <w:rPr>
          <w:rFonts w:hint="eastAsia" w:ascii="Microsoft JhengHei" w:eastAsia="Microsoft JhengHei"/>
          <w:b/>
          <w:sz w:val="28"/>
        </w:rPr>
        <w:t>（</w:t>
      </w:r>
      <w:r>
        <w:rPr>
          <w:rFonts w:hint="eastAsia" w:ascii="Microsoft JhengHei"/>
          <w:b/>
          <w:sz w:val="28"/>
        </w:rPr>
        <w:t>二</w:t>
      </w:r>
      <w:r>
        <w:rPr>
          <w:rFonts w:hint="eastAsia" w:ascii="Microsoft JhengHei" w:eastAsia="Microsoft JhengHei"/>
          <w:b/>
          <w:sz w:val="28"/>
        </w:rPr>
        <w:t>）各</w:t>
      </w:r>
      <w:r>
        <w:rPr>
          <w:rFonts w:hint="eastAsia" w:ascii="Microsoft JhengHei"/>
          <w:b/>
          <w:sz w:val="28"/>
        </w:rPr>
        <w:t>竞赛项</w:t>
      </w:r>
      <w:r>
        <w:rPr>
          <w:rFonts w:hint="eastAsia" w:ascii="Microsoft JhengHei" w:eastAsia="Microsoft JhengHei"/>
          <w:b/>
          <w:sz w:val="28"/>
        </w:rPr>
        <w:t>目所用主要</w:t>
      </w:r>
      <w:r>
        <w:rPr>
          <w:rFonts w:hint="eastAsia" w:ascii="Microsoft JhengHei"/>
          <w:b/>
          <w:sz w:val="28"/>
        </w:rPr>
        <w:t>化学试剂</w:t>
      </w:r>
    </w:p>
    <w:p>
      <w:pPr>
        <w:pStyle w:val="3"/>
        <w:tabs>
          <w:tab w:val="left" w:pos="848"/>
        </w:tabs>
        <w:spacing w:before="30" w:line="360" w:lineRule="auto"/>
        <w:ind w:left="0" w:firstLine="562" w:firstLineChars="200"/>
        <w:rPr>
          <w:rFonts w:eastAsia="宋体"/>
        </w:rPr>
      </w:pPr>
      <w:r>
        <w:rPr>
          <w:rFonts w:eastAsia="宋体"/>
        </w:rPr>
        <w:t>1.</w:t>
      </w:r>
      <w:r>
        <w:rPr>
          <w:rFonts w:hint="eastAsia" w:eastAsia="宋体"/>
        </w:rPr>
        <w:t>农药残留检测项目</w:t>
      </w:r>
    </w:p>
    <w:tbl>
      <w:tblPr>
        <w:tblStyle w:val="5"/>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3038"/>
        <w:gridCol w:w="2765"/>
        <w:gridCol w:w="24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002" w:type="dxa"/>
          </w:tcPr>
          <w:p>
            <w:pPr>
              <w:pStyle w:val="11"/>
              <w:spacing w:before="132" w:line="360" w:lineRule="auto"/>
              <w:ind w:left="201" w:right="190"/>
              <w:jc w:val="center"/>
              <w:rPr>
                <w:sz w:val="28"/>
              </w:rPr>
            </w:pPr>
            <w:r>
              <w:rPr>
                <w:rFonts w:hint="eastAsia"/>
                <w:sz w:val="28"/>
              </w:rPr>
              <w:t>序号</w:t>
            </w:r>
          </w:p>
        </w:tc>
        <w:tc>
          <w:tcPr>
            <w:tcW w:w="3038" w:type="dxa"/>
          </w:tcPr>
          <w:p>
            <w:pPr>
              <w:pStyle w:val="11"/>
              <w:spacing w:before="132" w:line="360" w:lineRule="auto"/>
              <w:ind w:left="1078" w:right="1065"/>
              <w:jc w:val="center"/>
              <w:rPr>
                <w:sz w:val="28"/>
              </w:rPr>
            </w:pPr>
            <w:r>
              <w:rPr>
                <w:rFonts w:hint="eastAsia"/>
                <w:sz w:val="28"/>
              </w:rPr>
              <w:t>名称</w:t>
            </w:r>
          </w:p>
        </w:tc>
        <w:tc>
          <w:tcPr>
            <w:tcW w:w="2765" w:type="dxa"/>
          </w:tcPr>
          <w:p>
            <w:pPr>
              <w:pStyle w:val="11"/>
              <w:spacing w:before="132" w:line="360" w:lineRule="auto"/>
              <w:ind w:left="941" w:right="933"/>
              <w:jc w:val="center"/>
              <w:rPr>
                <w:sz w:val="28"/>
              </w:rPr>
            </w:pPr>
            <w:r>
              <w:rPr>
                <w:rFonts w:hint="eastAsia"/>
                <w:sz w:val="28"/>
              </w:rPr>
              <w:t>规格</w:t>
            </w:r>
          </w:p>
        </w:tc>
        <w:tc>
          <w:tcPr>
            <w:tcW w:w="2481" w:type="dxa"/>
          </w:tcPr>
          <w:p>
            <w:pPr>
              <w:pStyle w:val="11"/>
              <w:spacing w:before="132" w:line="360" w:lineRule="auto"/>
              <w:ind w:left="940" w:right="931"/>
              <w:jc w:val="center"/>
              <w:rPr>
                <w:sz w:val="28"/>
              </w:rPr>
            </w:pPr>
            <w:r>
              <w:rPr>
                <w:rFonts w:hint="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2" w:type="dxa"/>
          </w:tcPr>
          <w:p>
            <w:pPr>
              <w:pStyle w:val="11"/>
              <w:spacing w:before="150" w:line="360" w:lineRule="auto"/>
              <w:ind w:left="8"/>
              <w:jc w:val="center"/>
              <w:rPr>
                <w:rFonts w:ascii="Times New Roman"/>
                <w:sz w:val="28"/>
              </w:rPr>
            </w:pPr>
            <w:r>
              <w:rPr>
                <w:rFonts w:ascii="Times New Roman"/>
                <w:sz w:val="28"/>
              </w:rPr>
              <w:t>1</w:t>
            </w:r>
          </w:p>
        </w:tc>
        <w:tc>
          <w:tcPr>
            <w:tcW w:w="3038" w:type="dxa"/>
          </w:tcPr>
          <w:p>
            <w:pPr>
              <w:pStyle w:val="11"/>
              <w:spacing w:before="132" w:line="360" w:lineRule="auto"/>
              <w:ind w:left="1078" w:right="1065"/>
              <w:jc w:val="center"/>
              <w:rPr>
                <w:sz w:val="28"/>
              </w:rPr>
            </w:pPr>
            <w:r>
              <w:rPr>
                <w:rFonts w:hint="eastAsia"/>
                <w:sz w:val="28"/>
              </w:rPr>
              <w:t>乙腈</w:t>
            </w:r>
          </w:p>
        </w:tc>
        <w:tc>
          <w:tcPr>
            <w:tcW w:w="2765" w:type="dxa"/>
          </w:tcPr>
          <w:p>
            <w:pPr>
              <w:pStyle w:val="11"/>
              <w:spacing w:before="132" w:line="360" w:lineRule="auto"/>
              <w:ind w:left="941" w:right="933"/>
              <w:jc w:val="center"/>
              <w:rPr>
                <w:sz w:val="28"/>
              </w:rPr>
            </w:pPr>
            <w:r>
              <w:rPr>
                <w:rFonts w:hint="eastAsia"/>
                <w:sz w:val="28"/>
              </w:rPr>
              <w:t>色谱纯</w:t>
            </w:r>
          </w:p>
        </w:tc>
        <w:tc>
          <w:tcPr>
            <w:tcW w:w="2481" w:type="dxa"/>
          </w:tcPr>
          <w:p>
            <w:pPr>
              <w:pStyle w:val="11"/>
              <w:spacing w:line="360" w:lineRule="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02" w:type="dxa"/>
          </w:tcPr>
          <w:p>
            <w:pPr>
              <w:pStyle w:val="11"/>
              <w:spacing w:before="150" w:line="360" w:lineRule="auto"/>
              <w:ind w:left="8"/>
              <w:jc w:val="center"/>
              <w:rPr>
                <w:rFonts w:ascii="Times New Roman"/>
                <w:sz w:val="28"/>
              </w:rPr>
            </w:pPr>
            <w:r>
              <w:rPr>
                <w:rFonts w:ascii="Times New Roman"/>
                <w:sz w:val="28"/>
              </w:rPr>
              <w:t>2</w:t>
            </w:r>
          </w:p>
        </w:tc>
        <w:tc>
          <w:tcPr>
            <w:tcW w:w="3038" w:type="dxa"/>
          </w:tcPr>
          <w:p>
            <w:pPr>
              <w:pStyle w:val="11"/>
              <w:spacing w:before="134" w:line="360" w:lineRule="auto"/>
              <w:ind w:left="1078" w:right="1065"/>
              <w:jc w:val="center"/>
              <w:rPr>
                <w:sz w:val="28"/>
              </w:rPr>
            </w:pPr>
            <w:r>
              <w:rPr>
                <w:rFonts w:hint="eastAsia"/>
                <w:sz w:val="28"/>
              </w:rPr>
              <w:t>丙酮</w:t>
            </w:r>
          </w:p>
        </w:tc>
        <w:tc>
          <w:tcPr>
            <w:tcW w:w="2765" w:type="dxa"/>
          </w:tcPr>
          <w:p>
            <w:pPr>
              <w:pStyle w:val="11"/>
              <w:spacing w:before="134" w:line="360" w:lineRule="auto"/>
              <w:ind w:left="941" w:right="933"/>
              <w:jc w:val="center"/>
              <w:rPr>
                <w:sz w:val="28"/>
              </w:rPr>
            </w:pPr>
            <w:r>
              <w:rPr>
                <w:rFonts w:hint="eastAsia"/>
                <w:sz w:val="28"/>
              </w:rPr>
              <w:t>色谱纯</w:t>
            </w:r>
          </w:p>
        </w:tc>
        <w:tc>
          <w:tcPr>
            <w:tcW w:w="2481" w:type="dxa"/>
          </w:tcPr>
          <w:p>
            <w:pPr>
              <w:pStyle w:val="11"/>
              <w:spacing w:line="360" w:lineRule="auto"/>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2" w:type="dxa"/>
          </w:tcPr>
          <w:p>
            <w:pPr>
              <w:pStyle w:val="11"/>
              <w:spacing w:before="150" w:line="360" w:lineRule="auto"/>
              <w:ind w:left="8"/>
              <w:jc w:val="center"/>
              <w:rPr>
                <w:rFonts w:ascii="Times New Roman"/>
                <w:sz w:val="28"/>
              </w:rPr>
            </w:pPr>
            <w:r>
              <w:rPr>
                <w:rFonts w:ascii="Times New Roman"/>
                <w:sz w:val="28"/>
              </w:rPr>
              <w:t>3</w:t>
            </w:r>
          </w:p>
        </w:tc>
        <w:tc>
          <w:tcPr>
            <w:tcW w:w="3038" w:type="dxa"/>
          </w:tcPr>
          <w:p>
            <w:pPr>
              <w:pStyle w:val="11"/>
              <w:spacing w:before="134" w:line="360" w:lineRule="auto"/>
              <w:ind w:left="1078" w:right="1070"/>
              <w:jc w:val="center"/>
              <w:rPr>
                <w:sz w:val="28"/>
              </w:rPr>
            </w:pPr>
            <w:r>
              <w:rPr>
                <w:rFonts w:hint="eastAsia"/>
                <w:sz w:val="28"/>
              </w:rPr>
              <w:t>氯化钠</w:t>
            </w:r>
          </w:p>
        </w:tc>
        <w:tc>
          <w:tcPr>
            <w:tcW w:w="2765" w:type="dxa"/>
          </w:tcPr>
          <w:p>
            <w:pPr>
              <w:pStyle w:val="11"/>
              <w:spacing w:before="134" w:line="360" w:lineRule="auto"/>
              <w:ind w:left="941" w:right="933"/>
              <w:jc w:val="center"/>
              <w:rPr>
                <w:sz w:val="28"/>
              </w:rPr>
            </w:pPr>
            <w:r>
              <w:rPr>
                <w:rFonts w:hint="eastAsia"/>
                <w:sz w:val="28"/>
              </w:rPr>
              <w:t>分析纯</w:t>
            </w:r>
          </w:p>
        </w:tc>
        <w:tc>
          <w:tcPr>
            <w:tcW w:w="2481" w:type="dxa"/>
          </w:tcPr>
          <w:p>
            <w:pPr>
              <w:pStyle w:val="11"/>
              <w:spacing w:line="360" w:lineRule="auto"/>
              <w:rPr>
                <w:rFonts w:ascii="Times New Roman"/>
                <w:sz w:val="28"/>
              </w:rPr>
            </w:pPr>
          </w:p>
        </w:tc>
      </w:tr>
    </w:tbl>
    <w:p>
      <w:pPr>
        <w:pStyle w:val="10"/>
        <w:tabs>
          <w:tab w:val="left" w:pos="848"/>
          <w:tab w:val="left" w:pos="2512"/>
        </w:tabs>
        <w:spacing w:before="1" w:line="360" w:lineRule="auto"/>
        <w:ind w:left="218" w:leftChars="99" w:firstLine="275" w:firstLineChars="98"/>
        <w:rPr>
          <w:rFonts w:ascii="Microsoft JhengHei"/>
          <w:b/>
          <w:sz w:val="28"/>
        </w:rPr>
      </w:pPr>
      <w:r>
        <w:rPr>
          <w:rFonts w:ascii="Microsoft JhengHei"/>
          <w:b/>
          <w:sz w:val="28"/>
        </w:rPr>
        <w:t>2.</w:t>
      </w:r>
      <w:r>
        <w:rPr>
          <w:rFonts w:hint="eastAsia" w:ascii="Microsoft JhengHei" w:eastAsia="Microsoft JhengHei"/>
          <w:b/>
          <w:sz w:val="28"/>
        </w:rPr>
        <w:t>重</w:t>
      </w:r>
      <w:r>
        <w:rPr>
          <w:rFonts w:hint="eastAsia" w:ascii="Microsoft JhengHei"/>
          <w:b/>
          <w:sz w:val="28"/>
        </w:rPr>
        <w:t>金属污染物检测项目</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2"/>
        <w:gridCol w:w="2947"/>
        <w:gridCol w:w="2536"/>
        <w:gridCol w:w="28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02" w:type="dxa"/>
            <w:vAlign w:val="center"/>
          </w:tcPr>
          <w:p>
            <w:pPr>
              <w:pStyle w:val="11"/>
              <w:spacing w:line="360" w:lineRule="auto"/>
              <w:jc w:val="center"/>
              <w:rPr>
                <w:sz w:val="28"/>
              </w:rPr>
            </w:pPr>
            <w:r>
              <w:rPr>
                <w:rFonts w:hint="eastAsia"/>
                <w:sz w:val="28"/>
              </w:rPr>
              <w:t>序号</w:t>
            </w:r>
          </w:p>
        </w:tc>
        <w:tc>
          <w:tcPr>
            <w:tcW w:w="2947" w:type="dxa"/>
            <w:vAlign w:val="center"/>
          </w:tcPr>
          <w:p>
            <w:pPr>
              <w:pStyle w:val="11"/>
              <w:spacing w:line="360" w:lineRule="auto"/>
              <w:ind w:left="771"/>
              <w:jc w:val="center"/>
              <w:rPr>
                <w:sz w:val="28"/>
              </w:rPr>
            </w:pPr>
            <w:r>
              <w:rPr>
                <w:rFonts w:hint="eastAsia"/>
                <w:sz w:val="28"/>
              </w:rPr>
              <w:t>名称</w:t>
            </w:r>
          </w:p>
        </w:tc>
        <w:tc>
          <w:tcPr>
            <w:tcW w:w="2536" w:type="dxa"/>
            <w:vAlign w:val="center"/>
          </w:tcPr>
          <w:p>
            <w:pPr>
              <w:pStyle w:val="11"/>
              <w:spacing w:line="360" w:lineRule="auto"/>
              <w:ind w:left="771"/>
              <w:jc w:val="center"/>
              <w:rPr>
                <w:sz w:val="28"/>
              </w:rPr>
            </w:pPr>
            <w:r>
              <w:rPr>
                <w:rFonts w:hint="eastAsia"/>
                <w:sz w:val="28"/>
              </w:rPr>
              <w:t>规格</w:t>
            </w:r>
          </w:p>
        </w:tc>
        <w:tc>
          <w:tcPr>
            <w:tcW w:w="2801" w:type="dxa"/>
            <w:vAlign w:val="center"/>
          </w:tcPr>
          <w:p>
            <w:pPr>
              <w:pStyle w:val="11"/>
              <w:spacing w:line="360" w:lineRule="auto"/>
              <w:ind w:left="771"/>
              <w:jc w:val="center"/>
              <w:rPr>
                <w:sz w:val="28"/>
              </w:rPr>
            </w:pPr>
            <w:r>
              <w:rPr>
                <w:rFonts w:hint="eastAsia"/>
                <w:sz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1002" w:type="dxa"/>
            <w:vAlign w:val="center"/>
          </w:tcPr>
          <w:p>
            <w:pPr>
              <w:pStyle w:val="11"/>
              <w:spacing w:line="360" w:lineRule="auto"/>
              <w:ind w:left="8"/>
              <w:jc w:val="center"/>
              <w:rPr>
                <w:rFonts w:ascii="Times New Roman"/>
                <w:sz w:val="28"/>
              </w:rPr>
            </w:pPr>
            <w:r>
              <w:rPr>
                <w:rFonts w:ascii="Times New Roman"/>
                <w:sz w:val="28"/>
              </w:rPr>
              <w:t>1</w:t>
            </w:r>
          </w:p>
        </w:tc>
        <w:tc>
          <w:tcPr>
            <w:tcW w:w="2947" w:type="dxa"/>
            <w:vAlign w:val="center"/>
          </w:tcPr>
          <w:p>
            <w:pPr>
              <w:pStyle w:val="11"/>
              <w:spacing w:line="360" w:lineRule="auto"/>
              <w:ind w:left="771"/>
              <w:rPr>
                <w:sz w:val="28"/>
              </w:rPr>
            </w:pPr>
            <w:r>
              <w:rPr>
                <w:rFonts w:hint="eastAsia"/>
                <w:sz w:val="28"/>
              </w:rPr>
              <w:t>样品消化液</w:t>
            </w:r>
          </w:p>
        </w:tc>
        <w:tc>
          <w:tcPr>
            <w:tcW w:w="2536" w:type="dxa"/>
            <w:vAlign w:val="center"/>
          </w:tcPr>
          <w:p>
            <w:pPr>
              <w:pStyle w:val="11"/>
              <w:spacing w:line="360" w:lineRule="auto"/>
              <w:jc w:val="center"/>
              <w:rPr>
                <w:rFonts w:ascii="Times New Roman"/>
                <w:sz w:val="28"/>
              </w:rPr>
            </w:pPr>
          </w:p>
        </w:tc>
        <w:tc>
          <w:tcPr>
            <w:tcW w:w="2801" w:type="dxa"/>
            <w:vAlign w:val="center"/>
          </w:tcPr>
          <w:p>
            <w:pPr>
              <w:pStyle w:val="11"/>
              <w:spacing w:before="132" w:line="360" w:lineRule="auto"/>
              <w:ind w:left="113"/>
              <w:jc w:val="both"/>
              <w:rPr>
                <w:sz w:val="28"/>
              </w:rPr>
            </w:pPr>
            <w:r>
              <w:rPr>
                <w:rFonts w:hint="eastAsia"/>
                <w:sz w:val="28"/>
              </w:rPr>
              <w:t>真实浓度不标注，</w:t>
            </w:r>
          </w:p>
          <w:p>
            <w:pPr>
              <w:pStyle w:val="11"/>
              <w:spacing w:before="132" w:line="360" w:lineRule="auto"/>
              <w:ind w:left="113"/>
              <w:jc w:val="both"/>
              <w:rPr>
                <w:sz w:val="28"/>
              </w:rPr>
            </w:pPr>
            <w:r>
              <w:rPr>
                <w:rFonts w:hint="eastAsia"/>
                <w:sz w:val="28"/>
              </w:rPr>
              <w:t>数据处理时告知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002" w:type="dxa"/>
            <w:vAlign w:val="center"/>
          </w:tcPr>
          <w:p>
            <w:pPr>
              <w:pStyle w:val="11"/>
              <w:spacing w:before="150" w:line="360" w:lineRule="auto"/>
              <w:ind w:left="8"/>
              <w:jc w:val="center"/>
              <w:rPr>
                <w:rFonts w:ascii="Times New Roman"/>
                <w:sz w:val="28"/>
              </w:rPr>
            </w:pPr>
            <w:r>
              <w:rPr>
                <w:rFonts w:ascii="Times New Roman"/>
                <w:sz w:val="28"/>
              </w:rPr>
              <w:t>2</w:t>
            </w:r>
          </w:p>
        </w:tc>
        <w:tc>
          <w:tcPr>
            <w:tcW w:w="2947" w:type="dxa"/>
            <w:vAlign w:val="center"/>
          </w:tcPr>
          <w:p>
            <w:pPr>
              <w:pStyle w:val="11"/>
              <w:spacing w:before="132" w:line="360" w:lineRule="auto"/>
              <w:ind w:left="771"/>
              <w:rPr>
                <w:sz w:val="28"/>
              </w:rPr>
            </w:pPr>
            <w:r>
              <w:rPr>
                <w:rFonts w:hint="eastAsia"/>
                <w:sz w:val="28"/>
              </w:rPr>
              <w:t>试剂空白溶液</w:t>
            </w:r>
          </w:p>
        </w:tc>
        <w:tc>
          <w:tcPr>
            <w:tcW w:w="2536" w:type="dxa"/>
            <w:vAlign w:val="center"/>
          </w:tcPr>
          <w:p>
            <w:pPr>
              <w:pStyle w:val="11"/>
              <w:spacing w:line="360" w:lineRule="auto"/>
              <w:jc w:val="center"/>
              <w:rPr>
                <w:rFonts w:ascii="Times New Roman"/>
                <w:sz w:val="28"/>
              </w:rPr>
            </w:pP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1002" w:type="dxa"/>
            <w:vAlign w:val="center"/>
          </w:tcPr>
          <w:p>
            <w:pPr>
              <w:pStyle w:val="11"/>
              <w:spacing w:before="150" w:line="360" w:lineRule="auto"/>
              <w:ind w:left="8"/>
              <w:jc w:val="center"/>
              <w:rPr>
                <w:rFonts w:ascii="Times New Roman"/>
                <w:sz w:val="28"/>
              </w:rPr>
            </w:pPr>
            <w:r>
              <w:rPr>
                <w:rFonts w:ascii="Times New Roman"/>
                <w:sz w:val="28"/>
              </w:rPr>
              <w:t>3</w:t>
            </w:r>
          </w:p>
        </w:tc>
        <w:tc>
          <w:tcPr>
            <w:tcW w:w="2947" w:type="dxa"/>
            <w:vAlign w:val="center"/>
          </w:tcPr>
          <w:p>
            <w:pPr>
              <w:pStyle w:val="11"/>
              <w:spacing w:before="134" w:line="360" w:lineRule="auto"/>
              <w:ind w:left="771"/>
              <w:rPr>
                <w:sz w:val="28"/>
              </w:rPr>
            </w:pPr>
            <w:r>
              <w:rPr>
                <w:rFonts w:hint="eastAsia"/>
                <w:sz w:val="28"/>
              </w:rPr>
              <w:t>硫酸铵溶液</w:t>
            </w:r>
          </w:p>
        </w:tc>
        <w:tc>
          <w:tcPr>
            <w:tcW w:w="2536" w:type="dxa"/>
            <w:vAlign w:val="center"/>
          </w:tcPr>
          <w:p>
            <w:pPr>
              <w:pStyle w:val="11"/>
              <w:spacing w:before="150" w:line="360" w:lineRule="auto"/>
              <w:ind w:left="791" w:right="780"/>
              <w:jc w:val="center"/>
              <w:rPr>
                <w:rFonts w:ascii="Times New Roman"/>
                <w:sz w:val="28"/>
              </w:rPr>
            </w:pPr>
            <w:r>
              <w:rPr>
                <w:rFonts w:ascii="Times New Roman"/>
                <w:sz w:val="28"/>
              </w:rPr>
              <w:t>300 g/L</w:t>
            </w: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2" w:type="dxa"/>
            <w:vAlign w:val="center"/>
          </w:tcPr>
          <w:p>
            <w:pPr>
              <w:pStyle w:val="11"/>
              <w:spacing w:before="149" w:line="360" w:lineRule="auto"/>
              <w:ind w:left="8"/>
              <w:jc w:val="center"/>
              <w:rPr>
                <w:rFonts w:ascii="Times New Roman"/>
                <w:sz w:val="28"/>
              </w:rPr>
            </w:pPr>
            <w:r>
              <w:rPr>
                <w:rFonts w:ascii="Times New Roman"/>
                <w:sz w:val="28"/>
              </w:rPr>
              <w:t>4</w:t>
            </w:r>
          </w:p>
        </w:tc>
        <w:tc>
          <w:tcPr>
            <w:tcW w:w="2947" w:type="dxa"/>
            <w:vAlign w:val="center"/>
          </w:tcPr>
          <w:p>
            <w:pPr>
              <w:pStyle w:val="11"/>
              <w:spacing w:before="133" w:line="360" w:lineRule="auto"/>
              <w:ind w:left="913"/>
              <w:rPr>
                <w:sz w:val="28"/>
              </w:rPr>
            </w:pPr>
            <w:r>
              <w:rPr>
                <w:rFonts w:hint="eastAsia"/>
                <w:sz w:val="28"/>
              </w:rPr>
              <w:t>柠檬酸铵</w:t>
            </w:r>
          </w:p>
        </w:tc>
        <w:tc>
          <w:tcPr>
            <w:tcW w:w="2536" w:type="dxa"/>
            <w:vAlign w:val="center"/>
          </w:tcPr>
          <w:p>
            <w:pPr>
              <w:pStyle w:val="11"/>
              <w:spacing w:before="149" w:line="360" w:lineRule="auto"/>
              <w:ind w:left="791" w:right="780"/>
              <w:jc w:val="center"/>
              <w:rPr>
                <w:rFonts w:ascii="Times New Roman"/>
                <w:sz w:val="28"/>
              </w:rPr>
            </w:pPr>
            <w:r>
              <w:rPr>
                <w:rFonts w:ascii="Times New Roman"/>
                <w:sz w:val="28"/>
              </w:rPr>
              <w:t>250 g/L</w:t>
            </w: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002" w:type="dxa"/>
            <w:vAlign w:val="center"/>
          </w:tcPr>
          <w:p>
            <w:pPr>
              <w:pStyle w:val="11"/>
              <w:spacing w:before="151" w:line="360" w:lineRule="auto"/>
              <w:ind w:left="8"/>
              <w:jc w:val="center"/>
              <w:rPr>
                <w:rFonts w:ascii="Times New Roman"/>
                <w:sz w:val="28"/>
              </w:rPr>
            </w:pPr>
            <w:r>
              <w:rPr>
                <w:rFonts w:ascii="Times New Roman"/>
                <w:sz w:val="28"/>
              </w:rPr>
              <w:t>5</w:t>
            </w:r>
          </w:p>
        </w:tc>
        <w:tc>
          <w:tcPr>
            <w:tcW w:w="2947" w:type="dxa"/>
            <w:vAlign w:val="center"/>
          </w:tcPr>
          <w:p>
            <w:pPr>
              <w:pStyle w:val="11"/>
              <w:spacing w:before="133" w:line="360" w:lineRule="auto"/>
              <w:ind w:left="351"/>
              <w:jc w:val="center"/>
              <w:rPr>
                <w:sz w:val="28"/>
              </w:rPr>
            </w:pPr>
            <w:r>
              <w:rPr>
                <w:rFonts w:hint="eastAsia"/>
                <w:sz w:val="28"/>
              </w:rPr>
              <w:t>溴百里酚蓝水溶液</w:t>
            </w:r>
          </w:p>
        </w:tc>
        <w:tc>
          <w:tcPr>
            <w:tcW w:w="2536" w:type="dxa"/>
            <w:vAlign w:val="center"/>
          </w:tcPr>
          <w:p>
            <w:pPr>
              <w:pStyle w:val="11"/>
              <w:spacing w:before="151" w:line="360" w:lineRule="auto"/>
              <w:ind w:left="791" w:right="780"/>
              <w:jc w:val="center"/>
              <w:rPr>
                <w:rFonts w:ascii="Times New Roman"/>
                <w:sz w:val="28"/>
              </w:rPr>
            </w:pPr>
            <w:r>
              <w:rPr>
                <w:rFonts w:ascii="Times New Roman"/>
                <w:sz w:val="28"/>
              </w:rPr>
              <w:t>1 g/L</w:t>
            </w: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002" w:type="dxa"/>
            <w:vAlign w:val="center"/>
          </w:tcPr>
          <w:p>
            <w:pPr>
              <w:pStyle w:val="11"/>
              <w:spacing w:line="360" w:lineRule="auto"/>
              <w:ind w:left="8"/>
              <w:jc w:val="center"/>
              <w:rPr>
                <w:rFonts w:ascii="Times New Roman"/>
                <w:sz w:val="28"/>
              </w:rPr>
            </w:pPr>
            <w:r>
              <w:rPr>
                <w:rFonts w:ascii="Times New Roman"/>
                <w:sz w:val="28"/>
              </w:rPr>
              <w:t>6</w:t>
            </w:r>
          </w:p>
        </w:tc>
        <w:tc>
          <w:tcPr>
            <w:tcW w:w="2947" w:type="dxa"/>
            <w:vAlign w:val="center"/>
          </w:tcPr>
          <w:p>
            <w:pPr>
              <w:pStyle w:val="11"/>
              <w:spacing w:before="132" w:line="360" w:lineRule="auto"/>
              <w:ind w:left="212"/>
              <w:jc w:val="center"/>
              <w:rPr>
                <w:rFonts w:ascii="Microsoft JhengHei"/>
                <w:b/>
                <w:sz w:val="14"/>
              </w:rPr>
            </w:pPr>
            <w:r>
              <w:rPr>
                <w:rFonts w:hint="eastAsia"/>
                <w:spacing w:val="-3"/>
                <w:sz w:val="28"/>
              </w:rPr>
              <w:t>二乙基二硫代氨基甲</w:t>
            </w:r>
          </w:p>
          <w:p>
            <w:pPr>
              <w:pStyle w:val="11"/>
              <w:spacing w:line="360" w:lineRule="auto"/>
              <w:ind w:left="253"/>
              <w:jc w:val="center"/>
              <w:rPr>
                <w:sz w:val="28"/>
              </w:rPr>
            </w:pPr>
            <w:r>
              <w:rPr>
                <w:rFonts w:hint="eastAsia"/>
                <w:spacing w:val="-3"/>
                <w:sz w:val="28"/>
              </w:rPr>
              <w:t>酸钠</w:t>
            </w:r>
            <w:r>
              <w:rPr>
                <w:rFonts w:hint="eastAsia"/>
                <w:spacing w:val="-2"/>
                <w:sz w:val="28"/>
              </w:rPr>
              <w:t>（</w:t>
            </w:r>
            <w:r>
              <w:rPr>
                <w:rFonts w:ascii="Times New Roman" w:eastAsia="Times New Roman"/>
                <w:spacing w:val="-2"/>
                <w:sz w:val="28"/>
              </w:rPr>
              <w:t>DDTC</w:t>
            </w:r>
            <w:r>
              <w:rPr>
                <w:rFonts w:hint="eastAsia"/>
                <w:spacing w:val="-2"/>
                <w:sz w:val="28"/>
              </w:rPr>
              <w:t>）溶液</w:t>
            </w:r>
          </w:p>
        </w:tc>
        <w:tc>
          <w:tcPr>
            <w:tcW w:w="2536" w:type="dxa"/>
            <w:vAlign w:val="center"/>
          </w:tcPr>
          <w:p>
            <w:pPr>
              <w:pStyle w:val="11"/>
              <w:spacing w:line="360" w:lineRule="auto"/>
              <w:ind w:left="791" w:right="780"/>
              <w:jc w:val="center"/>
              <w:rPr>
                <w:rFonts w:ascii="Times New Roman"/>
                <w:sz w:val="28"/>
              </w:rPr>
            </w:pPr>
            <w:r>
              <w:rPr>
                <w:rFonts w:ascii="Times New Roman"/>
                <w:sz w:val="28"/>
              </w:rPr>
              <w:t>50 g/L</w:t>
            </w: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02" w:type="dxa"/>
            <w:vAlign w:val="center"/>
          </w:tcPr>
          <w:p>
            <w:pPr>
              <w:pStyle w:val="11"/>
              <w:spacing w:before="151" w:line="360" w:lineRule="auto"/>
              <w:ind w:left="8"/>
              <w:jc w:val="center"/>
              <w:rPr>
                <w:rFonts w:ascii="Times New Roman"/>
                <w:sz w:val="28"/>
              </w:rPr>
            </w:pPr>
            <w:r>
              <w:rPr>
                <w:rFonts w:ascii="Times New Roman"/>
                <w:sz w:val="28"/>
              </w:rPr>
              <w:t>7</w:t>
            </w:r>
          </w:p>
        </w:tc>
        <w:tc>
          <w:tcPr>
            <w:tcW w:w="2947" w:type="dxa"/>
            <w:vAlign w:val="center"/>
          </w:tcPr>
          <w:p>
            <w:pPr>
              <w:pStyle w:val="11"/>
              <w:spacing w:before="132" w:line="360" w:lineRule="auto"/>
              <w:ind w:left="694"/>
              <w:jc w:val="center"/>
              <w:rPr>
                <w:sz w:val="28"/>
              </w:rPr>
            </w:pPr>
            <w:r>
              <w:rPr>
                <w:rFonts w:hint="eastAsia"/>
                <w:sz w:val="28"/>
              </w:rPr>
              <w:t>氨水（</w:t>
            </w:r>
            <w:r>
              <w:rPr>
                <w:rFonts w:ascii="Times New Roman" w:eastAsia="Times New Roman"/>
                <w:sz w:val="28"/>
              </w:rPr>
              <w:t>1+1</w:t>
            </w:r>
            <w:r>
              <w:rPr>
                <w:rFonts w:hint="eastAsia"/>
                <w:sz w:val="28"/>
              </w:rPr>
              <w:t>）</w:t>
            </w:r>
          </w:p>
        </w:tc>
        <w:tc>
          <w:tcPr>
            <w:tcW w:w="2536" w:type="dxa"/>
            <w:vAlign w:val="center"/>
          </w:tcPr>
          <w:p>
            <w:pPr>
              <w:pStyle w:val="11"/>
              <w:spacing w:line="360" w:lineRule="auto"/>
              <w:jc w:val="center"/>
              <w:rPr>
                <w:rFonts w:ascii="Times New Roman"/>
                <w:sz w:val="28"/>
              </w:rPr>
            </w:pP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2" w:type="dxa"/>
            <w:vAlign w:val="center"/>
          </w:tcPr>
          <w:p>
            <w:pPr>
              <w:pStyle w:val="11"/>
              <w:spacing w:before="150" w:line="360" w:lineRule="auto"/>
              <w:ind w:left="8"/>
              <w:jc w:val="center"/>
              <w:rPr>
                <w:rFonts w:ascii="Times New Roman"/>
                <w:sz w:val="28"/>
              </w:rPr>
            </w:pPr>
            <w:r>
              <w:rPr>
                <w:rFonts w:ascii="Times New Roman"/>
                <w:sz w:val="28"/>
              </w:rPr>
              <w:t>8</w:t>
            </w:r>
          </w:p>
        </w:tc>
        <w:tc>
          <w:tcPr>
            <w:tcW w:w="2947" w:type="dxa"/>
            <w:vAlign w:val="center"/>
          </w:tcPr>
          <w:p>
            <w:pPr>
              <w:pStyle w:val="11"/>
              <w:spacing w:before="132" w:line="360" w:lineRule="auto"/>
              <w:ind w:left="109" w:right="-44"/>
              <w:jc w:val="center"/>
              <w:rPr>
                <w:sz w:val="28"/>
              </w:rPr>
            </w:pPr>
            <w:r>
              <w:rPr>
                <w:rFonts w:ascii="Times New Roman" w:eastAsia="Times New Roman"/>
                <w:sz w:val="28"/>
              </w:rPr>
              <w:t>4-</w:t>
            </w:r>
            <w:r>
              <w:rPr>
                <w:rFonts w:hint="eastAsia"/>
                <w:spacing w:val="-2"/>
                <w:sz w:val="28"/>
              </w:rPr>
              <w:t>甲基</w:t>
            </w:r>
            <w:r>
              <w:rPr>
                <w:rFonts w:ascii="Times New Roman" w:eastAsia="Times New Roman"/>
                <w:sz w:val="28"/>
              </w:rPr>
              <w:t>-2-</w:t>
            </w:r>
            <w:r>
              <w:rPr>
                <w:rFonts w:hint="eastAsia"/>
                <w:spacing w:val="-51"/>
                <w:sz w:val="28"/>
              </w:rPr>
              <w:t>戊酮</w:t>
            </w:r>
            <w:r>
              <w:rPr>
                <w:rFonts w:hint="eastAsia"/>
                <w:spacing w:val="-5"/>
                <w:sz w:val="28"/>
              </w:rPr>
              <w:t>（</w:t>
            </w:r>
            <w:r>
              <w:rPr>
                <w:rFonts w:ascii="Times New Roman" w:eastAsia="Times New Roman"/>
                <w:spacing w:val="-5"/>
                <w:sz w:val="28"/>
              </w:rPr>
              <w:t>MIBK</w:t>
            </w:r>
            <w:r>
              <w:rPr>
                <w:rFonts w:hint="eastAsia"/>
                <w:spacing w:val="-5"/>
                <w:sz w:val="28"/>
              </w:rPr>
              <w:t>）</w:t>
            </w:r>
          </w:p>
        </w:tc>
        <w:tc>
          <w:tcPr>
            <w:tcW w:w="2536" w:type="dxa"/>
            <w:vAlign w:val="center"/>
          </w:tcPr>
          <w:p>
            <w:pPr>
              <w:pStyle w:val="11"/>
              <w:spacing w:line="360" w:lineRule="auto"/>
              <w:jc w:val="center"/>
              <w:rPr>
                <w:rFonts w:ascii="Times New Roman"/>
                <w:sz w:val="28"/>
              </w:rPr>
            </w:pP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1002" w:type="dxa"/>
            <w:vAlign w:val="center"/>
          </w:tcPr>
          <w:p>
            <w:pPr>
              <w:pStyle w:val="11"/>
              <w:spacing w:before="150" w:line="360" w:lineRule="auto"/>
              <w:ind w:left="200" w:right="190"/>
              <w:jc w:val="center"/>
              <w:rPr>
                <w:rFonts w:ascii="Times New Roman"/>
                <w:sz w:val="28"/>
              </w:rPr>
            </w:pPr>
            <w:r>
              <w:rPr>
                <w:rFonts w:ascii="Times New Roman"/>
                <w:sz w:val="28"/>
              </w:rPr>
              <w:t>9</w:t>
            </w:r>
          </w:p>
        </w:tc>
        <w:tc>
          <w:tcPr>
            <w:tcW w:w="2947" w:type="dxa"/>
            <w:vAlign w:val="center"/>
          </w:tcPr>
          <w:p>
            <w:pPr>
              <w:pStyle w:val="11"/>
              <w:spacing w:before="134" w:line="360" w:lineRule="auto"/>
              <w:ind w:left="10"/>
              <w:jc w:val="center"/>
              <w:rPr>
                <w:sz w:val="28"/>
              </w:rPr>
            </w:pPr>
            <w:r>
              <w:rPr>
                <w:rFonts w:hint="eastAsia"/>
                <w:sz w:val="28"/>
              </w:rPr>
              <w:t>水</w:t>
            </w:r>
          </w:p>
        </w:tc>
        <w:tc>
          <w:tcPr>
            <w:tcW w:w="2536" w:type="dxa"/>
            <w:vAlign w:val="center"/>
          </w:tcPr>
          <w:p>
            <w:pPr>
              <w:pStyle w:val="11"/>
              <w:spacing w:before="134" w:line="360" w:lineRule="auto"/>
              <w:ind w:left="789" w:right="780"/>
              <w:jc w:val="center"/>
              <w:rPr>
                <w:sz w:val="28"/>
              </w:rPr>
            </w:pPr>
            <w:r>
              <w:rPr>
                <w:rFonts w:hint="eastAsia"/>
                <w:sz w:val="28"/>
              </w:rPr>
              <w:t>二级水</w:t>
            </w:r>
          </w:p>
        </w:tc>
        <w:tc>
          <w:tcPr>
            <w:tcW w:w="2801" w:type="dxa"/>
            <w:vAlign w:val="center"/>
          </w:tcPr>
          <w:p>
            <w:pPr>
              <w:pStyle w:val="11"/>
              <w:spacing w:line="360" w:lineRule="auto"/>
              <w:jc w:val="center"/>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2" w:type="dxa"/>
            <w:vAlign w:val="center"/>
          </w:tcPr>
          <w:p>
            <w:pPr>
              <w:pStyle w:val="11"/>
              <w:spacing w:before="149" w:line="360" w:lineRule="auto"/>
              <w:ind w:left="201" w:right="189"/>
              <w:jc w:val="center"/>
              <w:rPr>
                <w:rFonts w:ascii="Times New Roman"/>
                <w:sz w:val="28"/>
              </w:rPr>
            </w:pPr>
            <w:r>
              <w:rPr>
                <w:rFonts w:ascii="Times New Roman"/>
                <w:sz w:val="28"/>
              </w:rPr>
              <w:t>10</w:t>
            </w:r>
          </w:p>
        </w:tc>
        <w:tc>
          <w:tcPr>
            <w:tcW w:w="2947" w:type="dxa"/>
            <w:vAlign w:val="center"/>
          </w:tcPr>
          <w:p>
            <w:pPr>
              <w:pStyle w:val="11"/>
              <w:spacing w:before="133" w:line="360" w:lineRule="auto"/>
              <w:ind w:left="913"/>
              <w:rPr>
                <w:sz w:val="28"/>
              </w:rPr>
            </w:pPr>
            <w:r>
              <w:rPr>
                <w:rFonts w:hint="eastAsia"/>
                <w:sz w:val="28"/>
              </w:rPr>
              <w:t>铅标准溶液</w:t>
            </w:r>
          </w:p>
        </w:tc>
        <w:tc>
          <w:tcPr>
            <w:tcW w:w="2536" w:type="dxa"/>
            <w:vAlign w:val="center"/>
          </w:tcPr>
          <w:p>
            <w:pPr>
              <w:pStyle w:val="11"/>
              <w:spacing w:before="149" w:line="360" w:lineRule="auto"/>
              <w:ind w:right="780"/>
              <w:jc w:val="center"/>
              <w:rPr>
                <w:rFonts w:ascii="Times New Roman" w:hAnsi="Times New Roman"/>
                <w:sz w:val="28"/>
              </w:rPr>
            </w:pPr>
            <w:r>
              <w:rPr>
                <w:rFonts w:ascii="Times New Roman" w:hAnsi="Times New Roman"/>
                <w:sz w:val="28"/>
              </w:rPr>
              <w:t xml:space="preserve"> </w:t>
            </w:r>
            <w:r>
              <w:rPr>
                <w:rFonts w:hint="eastAsia" w:ascii="Times New Roman" w:hAnsi="Times New Roman"/>
                <w:sz w:val="28"/>
                <w:lang w:val="en-US" w:eastAsia="zh-CN"/>
              </w:rPr>
              <w:t xml:space="preserve"> </w:t>
            </w:r>
            <w:bookmarkStart w:id="2" w:name="_GoBack"/>
            <w:bookmarkEnd w:id="2"/>
            <w:r>
              <w:rPr>
                <w:rFonts w:ascii="Times New Roman" w:hAnsi="Times New Roman"/>
                <w:sz w:val="28"/>
              </w:rPr>
              <w:t xml:space="preserve"> 100 μg/mL</w:t>
            </w:r>
          </w:p>
        </w:tc>
        <w:tc>
          <w:tcPr>
            <w:tcW w:w="2801" w:type="dxa"/>
            <w:vAlign w:val="center"/>
          </w:tcPr>
          <w:p>
            <w:pPr>
              <w:pStyle w:val="11"/>
              <w:spacing w:line="360" w:lineRule="auto"/>
              <w:jc w:val="center"/>
              <w:rPr>
                <w:rFonts w:ascii="Times New Roman"/>
                <w:sz w:val="28"/>
              </w:rPr>
            </w:pPr>
          </w:p>
        </w:tc>
      </w:tr>
    </w:tbl>
    <w:p>
      <w:pPr>
        <w:pStyle w:val="3"/>
        <w:spacing w:before="62" w:line="360" w:lineRule="auto"/>
        <w:ind w:left="0"/>
        <w:rPr>
          <w:rFonts w:ascii="黑体" w:eastAsia="黑体"/>
        </w:rPr>
      </w:pPr>
      <w:r>
        <w:rPr>
          <w:rFonts w:hint="eastAsia" w:ascii="黑体" w:eastAsia="黑体"/>
          <w:spacing w:val="-1"/>
          <w:w w:val="95"/>
        </w:rPr>
        <w:t>九、成绩评定</w:t>
      </w:r>
    </w:p>
    <w:p>
      <w:pPr>
        <w:pStyle w:val="3"/>
        <w:spacing w:before="62" w:line="360" w:lineRule="auto"/>
        <w:ind w:left="0" w:firstLine="520" w:firstLineChars="196"/>
        <w:rPr>
          <w:rFonts w:ascii="黑体" w:eastAsia="黑体"/>
        </w:rPr>
      </w:pPr>
      <w:r>
        <w:rPr>
          <w:rFonts w:hint="eastAsia" w:ascii="黑体" w:eastAsia="黑体"/>
          <w:spacing w:val="-1"/>
          <w:w w:val="95"/>
        </w:rPr>
        <w:t>（一）评分标准</w:t>
      </w:r>
    </w:p>
    <w:p>
      <w:pPr>
        <w:pStyle w:val="4"/>
        <w:snapToGrid w:val="0"/>
        <w:spacing w:before="186" w:line="360" w:lineRule="auto"/>
        <w:ind w:left="0" w:right="253" w:firstLine="520"/>
        <w:jc w:val="both"/>
        <w:rPr>
          <w:spacing w:val="-10"/>
        </w:rPr>
      </w:pPr>
      <w:r>
        <w:rPr>
          <w:spacing w:val="-10"/>
        </w:rPr>
        <w:t>1.</w:t>
      </w:r>
      <w:r>
        <w:rPr>
          <w:rFonts w:hint="eastAsia"/>
          <w:spacing w:val="-10"/>
        </w:rPr>
        <w:t>农药残留检测项目</w:t>
      </w:r>
    </w:p>
    <w:p>
      <w:pPr>
        <w:pStyle w:val="4"/>
        <w:snapToGrid w:val="0"/>
        <w:spacing w:before="186" w:line="360" w:lineRule="auto"/>
        <w:ind w:left="0" w:right="253" w:firstLine="520"/>
        <w:jc w:val="both"/>
      </w:pPr>
      <w:r>
        <w:rPr>
          <w:rFonts w:hint="eastAsia"/>
          <w:spacing w:val="-10"/>
        </w:rPr>
        <w:t>（</w:t>
      </w:r>
      <w:r>
        <w:rPr>
          <w:spacing w:val="-10"/>
        </w:rPr>
        <w:t>1</w:t>
      </w:r>
      <w:r>
        <w:rPr>
          <w:rFonts w:hint="eastAsia"/>
          <w:spacing w:val="-10"/>
        </w:rPr>
        <w:t>）现场操作考试时间</w:t>
      </w:r>
      <w:r>
        <w:rPr>
          <w:rFonts w:ascii="Times New Roman" w:eastAsia="Times New Roman"/>
        </w:rPr>
        <w:t>150</w:t>
      </w:r>
      <w:r>
        <w:rPr>
          <w:rFonts w:hint="eastAsia"/>
          <w:spacing w:val="-5"/>
        </w:rPr>
        <w:t>分钟</w:t>
      </w:r>
      <w:r>
        <w:rPr>
          <w:rFonts w:hint="eastAsia"/>
        </w:rPr>
        <w:t>（</w:t>
      </w:r>
      <w:r>
        <w:rPr>
          <w:rFonts w:hint="eastAsia"/>
          <w:spacing w:val="-3"/>
        </w:rPr>
        <w:t>不包含氮吹等待的时间</w:t>
      </w:r>
      <w:r>
        <w:rPr>
          <w:rFonts w:hint="eastAsia"/>
          <w:spacing w:val="-8"/>
        </w:rPr>
        <w:t>）</w:t>
      </w:r>
      <w:r>
        <w:rPr>
          <w:rFonts w:hint="eastAsia"/>
          <w:spacing w:val="-4"/>
        </w:rPr>
        <w:t>。计时从</w:t>
      </w:r>
      <w:r>
        <w:rPr>
          <w:rFonts w:hint="eastAsia"/>
          <w:spacing w:val="-3"/>
        </w:rPr>
        <w:t>实验准备开始，至实验台清洁完毕结束。学生须按规定时间完成操作，超</w:t>
      </w:r>
      <w:r>
        <w:rPr>
          <w:rFonts w:hint="eastAsia"/>
          <w:spacing w:val="-37"/>
        </w:rPr>
        <w:t>时</w:t>
      </w:r>
      <w:r>
        <w:rPr>
          <w:spacing w:val="-37"/>
        </w:rPr>
        <w:t xml:space="preserve"> </w:t>
      </w:r>
      <w:r>
        <w:rPr>
          <w:rFonts w:ascii="Times New Roman" w:eastAsia="Times New Roman"/>
        </w:rPr>
        <w:t>10</w:t>
      </w:r>
      <w:r>
        <w:rPr>
          <w:rFonts w:hint="eastAsia"/>
          <w:spacing w:val="-11"/>
        </w:rPr>
        <w:t>分钟以内，每分钟扣</w:t>
      </w:r>
      <w:r>
        <w:rPr>
          <w:rFonts w:ascii="Times New Roman" w:eastAsia="Times New Roman"/>
        </w:rPr>
        <w:t>0.3</w:t>
      </w:r>
      <w:r>
        <w:rPr>
          <w:rFonts w:hint="eastAsia"/>
          <w:spacing w:val="-2"/>
        </w:rPr>
        <w:t>分；</w:t>
      </w:r>
      <w:r>
        <w:rPr>
          <w:rFonts w:ascii="Times New Roman" w:eastAsia="Times New Roman"/>
          <w:spacing w:val="-4"/>
        </w:rPr>
        <w:t>10</w:t>
      </w:r>
      <w:r>
        <w:rPr>
          <w:rFonts w:hint="eastAsia"/>
          <w:spacing w:val="-11"/>
        </w:rPr>
        <w:t>分钟以上每分钟扣</w:t>
      </w:r>
      <w:r>
        <w:rPr>
          <w:rFonts w:ascii="Times New Roman" w:eastAsia="Times New Roman"/>
        </w:rPr>
        <w:t>0.5</w:t>
      </w:r>
      <w:r>
        <w:rPr>
          <w:rFonts w:hint="eastAsia"/>
          <w:spacing w:val="-15"/>
        </w:rPr>
        <w:t>分，最高扣</w:t>
      </w:r>
      <w:r>
        <w:rPr>
          <w:rFonts w:ascii="Times New Roman" w:eastAsia="Times New Roman"/>
        </w:rPr>
        <w:t>10</w:t>
      </w:r>
      <w:r>
        <w:rPr>
          <w:rFonts w:hint="eastAsia"/>
        </w:rPr>
        <w:t>分，超时</w:t>
      </w:r>
      <w:r>
        <w:rPr>
          <w:rFonts w:ascii="Times New Roman" w:eastAsia="Times New Roman"/>
        </w:rPr>
        <w:t>30</w:t>
      </w:r>
      <w:r>
        <w:rPr>
          <w:rFonts w:hint="eastAsia"/>
        </w:rPr>
        <w:t>分钟停止操作。</w:t>
      </w:r>
    </w:p>
    <w:p>
      <w:pPr>
        <w:pStyle w:val="4"/>
        <w:spacing w:before="186" w:line="360" w:lineRule="auto"/>
        <w:ind w:left="0" w:right="253" w:firstLine="528" w:firstLineChars="200"/>
        <w:jc w:val="both"/>
      </w:pPr>
      <w:r>
        <w:rPr>
          <w:rFonts w:hint="eastAsia"/>
          <w:spacing w:val="-8"/>
        </w:rPr>
        <w:t>（</w:t>
      </w:r>
      <w:r>
        <w:rPr>
          <w:spacing w:val="-8"/>
        </w:rPr>
        <w:t>2</w:t>
      </w:r>
      <w:r>
        <w:rPr>
          <w:rFonts w:hint="eastAsia"/>
          <w:spacing w:val="-8"/>
        </w:rPr>
        <w:t>）离线气相三维虚拟仿真操作考试为</w:t>
      </w:r>
      <w:r>
        <w:rPr>
          <w:spacing w:val="-8"/>
        </w:rPr>
        <w:t xml:space="preserve"> </w:t>
      </w:r>
      <w:r>
        <w:rPr>
          <w:rFonts w:ascii="Times New Roman" w:eastAsia="Times New Roman"/>
        </w:rPr>
        <w:t xml:space="preserve">45 </w:t>
      </w:r>
      <w:r>
        <w:rPr>
          <w:rFonts w:hint="eastAsia"/>
          <w:spacing w:val="-5"/>
        </w:rPr>
        <w:t>分钟，数据处理考试时间为</w:t>
      </w:r>
      <w:r>
        <w:rPr>
          <w:rFonts w:ascii="Times New Roman" w:eastAsia="Times New Roman"/>
        </w:rPr>
        <w:t>60</w:t>
      </w:r>
      <w:r>
        <w:rPr>
          <w:rFonts w:hint="eastAsia"/>
        </w:rPr>
        <w:t>分钟。学生须按规定时间完成操作，超时停止操作。</w:t>
      </w:r>
    </w:p>
    <w:p>
      <w:pPr>
        <w:pStyle w:val="4"/>
        <w:spacing w:before="186" w:line="360" w:lineRule="auto"/>
        <w:ind w:left="0" w:right="253" w:firstLine="560" w:firstLineChars="200"/>
        <w:jc w:val="both"/>
        <w:rPr>
          <w:spacing w:val="-2"/>
        </w:rPr>
      </w:pPr>
      <w:r>
        <w:rPr>
          <w:rFonts w:hint="eastAsia"/>
        </w:rPr>
        <w:t>（</w:t>
      </w:r>
      <w:r>
        <w:t>3</w:t>
      </w:r>
      <w:r>
        <w:rPr>
          <w:rFonts w:hint="eastAsia"/>
        </w:rPr>
        <w:t>）</w:t>
      </w:r>
      <w:r>
        <w:rPr>
          <w:rFonts w:hint="eastAsia"/>
          <w:spacing w:val="-2"/>
        </w:rPr>
        <w:t>评分标准</w:t>
      </w:r>
    </w:p>
    <w:tbl>
      <w:tblPr>
        <w:tblStyle w:val="5"/>
        <w:tblW w:w="9286"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858"/>
        <w:gridCol w:w="1207"/>
        <w:gridCol w:w="4936"/>
        <w:gridCol w:w="14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5" w:type="dxa"/>
            <w:vAlign w:val="center"/>
          </w:tcPr>
          <w:p>
            <w:pPr>
              <w:pStyle w:val="11"/>
              <w:spacing w:before="133" w:line="360" w:lineRule="auto"/>
              <w:ind w:left="117" w:right="107"/>
              <w:jc w:val="center"/>
              <w:rPr>
                <w:sz w:val="28"/>
              </w:rPr>
            </w:pPr>
            <w:r>
              <w:rPr>
                <w:rFonts w:hint="eastAsia"/>
                <w:sz w:val="28"/>
              </w:rPr>
              <w:t>项目</w:t>
            </w:r>
          </w:p>
        </w:tc>
        <w:tc>
          <w:tcPr>
            <w:tcW w:w="2065" w:type="dxa"/>
            <w:gridSpan w:val="2"/>
            <w:vAlign w:val="center"/>
          </w:tcPr>
          <w:p>
            <w:pPr>
              <w:pStyle w:val="11"/>
              <w:spacing w:before="133" w:line="360" w:lineRule="auto"/>
              <w:ind w:left="470"/>
              <w:jc w:val="center"/>
              <w:rPr>
                <w:sz w:val="28"/>
              </w:rPr>
            </w:pPr>
            <w:r>
              <w:rPr>
                <w:rFonts w:hint="eastAsia"/>
                <w:sz w:val="28"/>
              </w:rPr>
              <w:t>考核内容</w:t>
            </w:r>
          </w:p>
        </w:tc>
        <w:tc>
          <w:tcPr>
            <w:tcW w:w="4936" w:type="dxa"/>
            <w:vAlign w:val="center"/>
          </w:tcPr>
          <w:p>
            <w:pPr>
              <w:pStyle w:val="11"/>
              <w:spacing w:before="133" w:line="360" w:lineRule="auto"/>
              <w:ind w:left="107"/>
              <w:jc w:val="center"/>
              <w:rPr>
                <w:sz w:val="28"/>
              </w:rPr>
            </w:pPr>
            <w:r>
              <w:rPr>
                <w:rFonts w:hint="eastAsia"/>
                <w:sz w:val="28"/>
              </w:rPr>
              <w:t>考核知识点</w:t>
            </w:r>
            <w:r>
              <w:rPr>
                <w:rFonts w:ascii="Times New Roman" w:eastAsia="Times New Roman"/>
                <w:sz w:val="28"/>
              </w:rPr>
              <w:t>/</w:t>
            </w:r>
            <w:r>
              <w:rPr>
                <w:rFonts w:hint="eastAsia"/>
                <w:sz w:val="28"/>
              </w:rPr>
              <w:t>技能点</w:t>
            </w:r>
          </w:p>
        </w:tc>
        <w:tc>
          <w:tcPr>
            <w:tcW w:w="1450" w:type="dxa"/>
            <w:vAlign w:val="center"/>
          </w:tcPr>
          <w:p>
            <w:pPr>
              <w:pStyle w:val="11"/>
              <w:spacing w:before="133" w:line="360" w:lineRule="auto"/>
              <w:ind w:left="425" w:right="415"/>
              <w:jc w:val="center"/>
              <w:rPr>
                <w:sz w:val="28"/>
              </w:rPr>
            </w:pPr>
            <w:r>
              <w:rPr>
                <w:rFonts w:hint="eastAsia"/>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35" w:type="dxa"/>
            <w:vMerge w:val="restart"/>
            <w:vAlign w:val="center"/>
          </w:tcPr>
          <w:p>
            <w:pPr>
              <w:pStyle w:val="11"/>
              <w:spacing w:before="9" w:line="360" w:lineRule="auto"/>
              <w:jc w:val="center"/>
              <w:rPr>
                <w:sz w:val="36"/>
              </w:rPr>
            </w:pPr>
          </w:p>
          <w:p>
            <w:pPr>
              <w:pStyle w:val="11"/>
              <w:spacing w:before="1" w:line="360" w:lineRule="auto"/>
              <w:ind w:left="136"/>
              <w:rPr>
                <w:sz w:val="28"/>
              </w:rPr>
            </w:pPr>
            <w:r>
              <w:rPr>
                <w:rFonts w:hint="eastAsia"/>
                <w:sz w:val="28"/>
              </w:rPr>
              <w:t>蔬菜</w:t>
            </w:r>
          </w:p>
          <w:p>
            <w:pPr>
              <w:pStyle w:val="11"/>
              <w:spacing w:line="360" w:lineRule="auto"/>
              <w:ind w:left="117" w:right="107"/>
              <w:jc w:val="center"/>
              <w:rPr>
                <w:sz w:val="28"/>
              </w:rPr>
            </w:pPr>
            <w:r>
              <w:rPr>
                <w:rFonts w:hint="eastAsia"/>
                <w:sz w:val="28"/>
              </w:rPr>
              <w:t>中有</w:t>
            </w:r>
          </w:p>
          <w:p>
            <w:pPr>
              <w:pStyle w:val="11"/>
              <w:spacing w:line="360" w:lineRule="auto"/>
              <w:ind w:left="136"/>
              <w:rPr>
                <w:sz w:val="28"/>
              </w:rPr>
            </w:pPr>
            <w:r>
              <w:rPr>
                <w:rFonts w:hint="eastAsia"/>
                <w:sz w:val="28"/>
              </w:rPr>
              <w:t>机磷</w:t>
            </w:r>
          </w:p>
          <w:p>
            <w:pPr>
              <w:pStyle w:val="11"/>
              <w:spacing w:line="360" w:lineRule="auto"/>
              <w:ind w:left="117" w:right="107"/>
              <w:jc w:val="center"/>
              <w:rPr>
                <w:sz w:val="28"/>
              </w:rPr>
            </w:pPr>
            <w:r>
              <w:rPr>
                <w:rFonts w:hint="eastAsia"/>
                <w:sz w:val="28"/>
              </w:rPr>
              <w:t>类农</w:t>
            </w:r>
          </w:p>
          <w:p>
            <w:pPr>
              <w:pStyle w:val="11"/>
              <w:spacing w:line="360" w:lineRule="auto"/>
              <w:ind w:left="136"/>
              <w:rPr>
                <w:sz w:val="28"/>
              </w:rPr>
            </w:pPr>
            <w:r>
              <w:rPr>
                <w:rFonts w:hint="eastAsia"/>
                <w:sz w:val="28"/>
              </w:rPr>
              <w:t>药残</w:t>
            </w:r>
          </w:p>
          <w:p>
            <w:pPr>
              <w:pStyle w:val="11"/>
              <w:spacing w:line="360" w:lineRule="auto"/>
              <w:ind w:left="117" w:right="107"/>
              <w:jc w:val="center"/>
              <w:rPr>
                <w:sz w:val="28"/>
              </w:rPr>
            </w:pPr>
            <w:r>
              <w:rPr>
                <w:rFonts w:hint="eastAsia"/>
                <w:sz w:val="28"/>
              </w:rPr>
              <w:t>留的</w:t>
            </w:r>
          </w:p>
          <w:p>
            <w:pPr>
              <w:pStyle w:val="11"/>
              <w:spacing w:line="360" w:lineRule="auto"/>
              <w:ind w:left="136"/>
              <w:rPr>
                <w:sz w:val="28"/>
              </w:rPr>
            </w:pPr>
            <w:r>
              <w:rPr>
                <w:rFonts w:hint="eastAsia"/>
                <w:sz w:val="28"/>
              </w:rPr>
              <w:t>检测</w:t>
            </w:r>
          </w:p>
        </w:tc>
        <w:tc>
          <w:tcPr>
            <w:tcW w:w="858" w:type="dxa"/>
            <w:vMerge w:val="restart"/>
            <w:vAlign w:val="center"/>
          </w:tcPr>
          <w:p>
            <w:pPr>
              <w:pStyle w:val="11"/>
              <w:spacing w:line="360" w:lineRule="auto"/>
              <w:ind w:left="130" w:right="118"/>
              <w:jc w:val="center"/>
              <w:rPr>
                <w:sz w:val="28"/>
              </w:rPr>
            </w:pPr>
            <w:r>
              <w:rPr>
                <w:rFonts w:hint="eastAsia"/>
                <w:sz w:val="28"/>
              </w:rPr>
              <w:t>样品</w:t>
            </w:r>
          </w:p>
          <w:p>
            <w:pPr>
              <w:pStyle w:val="11"/>
              <w:spacing w:line="360" w:lineRule="auto"/>
              <w:ind w:left="130" w:right="118"/>
              <w:jc w:val="center"/>
              <w:rPr>
                <w:sz w:val="28"/>
              </w:rPr>
            </w:pPr>
            <w:r>
              <w:rPr>
                <w:rFonts w:hint="eastAsia"/>
                <w:sz w:val="28"/>
              </w:rPr>
              <w:t>前处</w:t>
            </w:r>
          </w:p>
          <w:p>
            <w:pPr>
              <w:pStyle w:val="11"/>
              <w:spacing w:line="360" w:lineRule="auto"/>
              <w:ind w:left="9"/>
              <w:jc w:val="center"/>
              <w:rPr>
                <w:sz w:val="28"/>
              </w:rPr>
            </w:pPr>
            <w:r>
              <w:rPr>
                <w:rFonts w:hint="eastAsia"/>
                <w:sz w:val="28"/>
              </w:rPr>
              <w:t>理</w:t>
            </w:r>
          </w:p>
        </w:tc>
        <w:tc>
          <w:tcPr>
            <w:tcW w:w="1207" w:type="dxa"/>
            <w:vAlign w:val="center"/>
          </w:tcPr>
          <w:p>
            <w:pPr>
              <w:pStyle w:val="11"/>
              <w:spacing w:before="132" w:line="360" w:lineRule="auto"/>
              <w:ind w:left="136" w:right="125"/>
              <w:jc w:val="center"/>
              <w:rPr>
                <w:sz w:val="28"/>
              </w:rPr>
            </w:pPr>
            <w:r>
              <w:rPr>
                <w:rFonts w:hint="eastAsia"/>
                <w:sz w:val="28"/>
              </w:rPr>
              <w:t>制样</w:t>
            </w:r>
          </w:p>
        </w:tc>
        <w:tc>
          <w:tcPr>
            <w:tcW w:w="4936" w:type="dxa"/>
            <w:vAlign w:val="center"/>
          </w:tcPr>
          <w:p>
            <w:pPr>
              <w:pStyle w:val="11"/>
              <w:spacing w:before="132" w:line="360" w:lineRule="auto"/>
              <w:ind w:left="107"/>
              <w:jc w:val="center"/>
              <w:rPr>
                <w:sz w:val="28"/>
              </w:rPr>
            </w:pPr>
            <w:r>
              <w:rPr>
                <w:rFonts w:hint="eastAsia"/>
                <w:sz w:val="28"/>
              </w:rPr>
              <w:t>制样方法；食品加工器的使用</w:t>
            </w:r>
          </w:p>
        </w:tc>
        <w:tc>
          <w:tcPr>
            <w:tcW w:w="1450" w:type="dxa"/>
            <w:vAlign w:val="center"/>
          </w:tcPr>
          <w:p>
            <w:pPr>
              <w:pStyle w:val="11"/>
              <w:spacing w:before="151" w:line="360" w:lineRule="auto"/>
              <w:ind w:left="11"/>
              <w:jc w:val="center"/>
              <w:rPr>
                <w:rFonts w:ascii="Times New Roman"/>
                <w:sz w:val="28"/>
              </w:rPr>
            </w:pPr>
            <w:r>
              <w:rPr>
                <w:rFonts w:ascii="Times New Roman"/>
                <w:sz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835" w:type="dxa"/>
            <w:vMerge w:val="continue"/>
            <w:vAlign w:val="center"/>
          </w:tcPr>
          <w:p>
            <w:pPr>
              <w:spacing w:line="360" w:lineRule="auto"/>
              <w:jc w:val="center"/>
              <w:rPr>
                <w:sz w:val="2"/>
                <w:szCs w:val="2"/>
              </w:rPr>
            </w:pPr>
          </w:p>
        </w:tc>
        <w:tc>
          <w:tcPr>
            <w:tcW w:w="858" w:type="dxa"/>
            <w:vMerge w:val="continue"/>
            <w:vAlign w:val="center"/>
          </w:tcPr>
          <w:p>
            <w:pPr>
              <w:spacing w:line="360" w:lineRule="auto"/>
              <w:jc w:val="center"/>
              <w:rPr>
                <w:sz w:val="2"/>
                <w:szCs w:val="2"/>
              </w:rPr>
            </w:pPr>
          </w:p>
        </w:tc>
        <w:tc>
          <w:tcPr>
            <w:tcW w:w="1207" w:type="dxa"/>
            <w:vMerge w:val="restart"/>
            <w:vAlign w:val="center"/>
          </w:tcPr>
          <w:p>
            <w:pPr>
              <w:pStyle w:val="11"/>
              <w:spacing w:line="360" w:lineRule="auto"/>
              <w:ind w:left="136" w:right="125"/>
              <w:jc w:val="center"/>
              <w:rPr>
                <w:sz w:val="28"/>
              </w:rPr>
            </w:pPr>
            <w:r>
              <w:rPr>
                <w:rFonts w:hint="eastAsia"/>
                <w:sz w:val="28"/>
              </w:rPr>
              <w:t>提取</w:t>
            </w:r>
          </w:p>
        </w:tc>
        <w:tc>
          <w:tcPr>
            <w:tcW w:w="4936" w:type="dxa"/>
            <w:vMerge w:val="restart"/>
            <w:vAlign w:val="center"/>
          </w:tcPr>
          <w:p>
            <w:pPr>
              <w:pStyle w:val="11"/>
              <w:spacing w:line="360" w:lineRule="auto"/>
              <w:ind w:left="107"/>
              <w:jc w:val="center"/>
              <w:rPr>
                <w:sz w:val="28"/>
              </w:rPr>
            </w:pPr>
            <w:r>
              <w:rPr>
                <w:rFonts w:hint="eastAsia"/>
                <w:sz w:val="28"/>
              </w:rPr>
              <w:t>天平的使用；移液器的使用；吸量管的</w:t>
            </w:r>
          </w:p>
          <w:p>
            <w:pPr>
              <w:pStyle w:val="11"/>
              <w:spacing w:line="360" w:lineRule="auto"/>
              <w:ind w:left="107"/>
              <w:jc w:val="center"/>
              <w:rPr>
                <w:sz w:val="28"/>
              </w:rPr>
            </w:pPr>
            <w:r>
              <w:rPr>
                <w:rFonts w:hint="eastAsia"/>
                <w:sz w:val="28"/>
              </w:rPr>
              <w:t>使用；旋涡振荡器的使用；过滤方法</w:t>
            </w:r>
          </w:p>
        </w:tc>
        <w:tc>
          <w:tcPr>
            <w:tcW w:w="1450" w:type="dxa"/>
            <w:vAlign w:val="center"/>
          </w:tcPr>
          <w:p>
            <w:pPr>
              <w:pStyle w:val="11"/>
              <w:spacing w:line="360" w:lineRule="auto"/>
              <w:ind w:left="425" w:right="414"/>
              <w:jc w:val="center"/>
              <w:rPr>
                <w:rFonts w:ascii="Times New Roman"/>
                <w:sz w:val="28"/>
              </w:rPr>
            </w:pPr>
            <w:r>
              <w:rPr>
                <w:rFonts w:ascii="Times New Roman"/>
                <w:sz w:val="28"/>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35" w:type="dxa"/>
            <w:vMerge w:val="continue"/>
            <w:vAlign w:val="center"/>
          </w:tcPr>
          <w:p>
            <w:pPr>
              <w:spacing w:line="360" w:lineRule="auto"/>
              <w:jc w:val="center"/>
              <w:rPr>
                <w:sz w:val="2"/>
                <w:szCs w:val="2"/>
              </w:rPr>
            </w:pPr>
          </w:p>
        </w:tc>
        <w:tc>
          <w:tcPr>
            <w:tcW w:w="858" w:type="dxa"/>
            <w:vMerge w:val="continue"/>
            <w:vAlign w:val="center"/>
          </w:tcPr>
          <w:p>
            <w:pPr>
              <w:spacing w:line="360" w:lineRule="auto"/>
              <w:jc w:val="center"/>
              <w:rPr>
                <w:sz w:val="2"/>
                <w:szCs w:val="2"/>
              </w:rPr>
            </w:pPr>
          </w:p>
        </w:tc>
        <w:tc>
          <w:tcPr>
            <w:tcW w:w="1207" w:type="dxa"/>
            <w:vMerge w:val="restart"/>
            <w:vAlign w:val="center"/>
          </w:tcPr>
          <w:p>
            <w:pPr>
              <w:pStyle w:val="11"/>
              <w:spacing w:line="360" w:lineRule="auto"/>
              <w:ind w:left="136" w:right="125"/>
              <w:jc w:val="center"/>
              <w:rPr>
                <w:sz w:val="28"/>
              </w:rPr>
            </w:pPr>
            <w:r>
              <w:rPr>
                <w:rFonts w:hint="eastAsia"/>
                <w:sz w:val="28"/>
              </w:rPr>
              <w:t>净化</w:t>
            </w:r>
          </w:p>
        </w:tc>
        <w:tc>
          <w:tcPr>
            <w:tcW w:w="4936" w:type="dxa"/>
            <w:vMerge w:val="restart"/>
            <w:vAlign w:val="center"/>
          </w:tcPr>
          <w:p>
            <w:pPr>
              <w:pStyle w:val="11"/>
              <w:spacing w:line="360" w:lineRule="auto"/>
              <w:ind w:left="107"/>
              <w:jc w:val="center"/>
              <w:rPr>
                <w:sz w:val="28"/>
              </w:rPr>
            </w:pPr>
            <w:r>
              <w:rPr>
                <w:rFonts w:hint="eastAsia"/>
                <w:sz w:val="28"/>
              </w:rPr>
              <w:t>氮吹仪的使用；旋涡振荡器的使用；</w:t>
            </w:r>
          </w:p>
          <w:p>
            <w:pPr>
              <w:pStyle w:val="11"/>
              <w:spacing w:line="360" w:lineRule="auto"/>
              <w:ind w:left="107"/>
              <w:jc w:val="center"/>
              <w:rPr>
                <w:sz w:val="28"/>
              </w:rPr>
            </w:pPr>
            <w:r>
              <w:rPr>
                <w:rFonts w:hint="eastAsia"/>
                <w:sz w:val="28"/>
              </w:rPr>
              <w:t>吸量管的使用</w:t>
            </w:r>
          </w:p>
        </w:tc>
        <w:tc>
          <w:tcPr>
            <w:tcW w:w="1450" w:type="dxa"/>
            <w:vAlign w:val="center"/>
          </w:tcPr>
          <w:p>
            <w:pPr>
              <w:pStyle w:val="11"/>
              <w:spacing w:line="360" w:lineRule="auto"/>
              <w:ind w:left="425" w:right="414"/>
              <w:jc w:val="center"/>
              <w:rPr>
                <w:rFonts w:ascii="Times New Roman"/>
                <w:sz w:val="28"/>
              </w:rPr>
            </w:pPr>
            <w:r>
              <w:rPr>
                <w:rFonts w:ascii="Times New Roman"/>
                <w:sz w:val="28"/>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835" w:type="dxa"/>
            <w:vMerge w:val="continue"/>
            <w:vAlign w:val="center"/>
          </w:tcPr>
          <w:p>
            <w:pPr>
              <w:spacing w:line="360" w:lineRule="auto"/>
              <w:jc w:val="center"/>
              <w:rPr>
                <w:sz w:val="2"/>
                <w:szCs w:val="2"/>
              </w:rPr>
            </w:pPr>
          </w:p>
        </w:tc>
        <w:tc>
          <w:tcPr>
            <w:tcW w:w="858" w:type="dxa"/>
            <w:vMerge w:val="continue"/>
            <w:vAlign w:val="center"/>
          </w:tcPr>
          <w:p>
            <w:pPr>
              <w:spacing w:line="360" w:lineRule="auto"/>
              <w:jc w:val="center"/>
              <w:rPr>
                <w:sz w:val="2"/>
                <w:szCs w:val="2"/>
              </w:rPr>
            </w:pPr>
          </w:p>
        </w:tc>
        <w:tc>
          <w:tcPr>
            <w:tcW w:w="1207" w:type="dxa"/>
            <w:vAlign w:val="center"/>
          </w:tcPr>
          <w:p>
            <w:pPr>
              <w:pStyle w:val="11"/>
              <w:spacing w:line="360" w:lineRule="auto"/>
              <w:ind w:left="131" w:right="125"/>
              <w:jc w:val="center"/>
              <w:rPr>
                <w:sz w:val="28"/>
              </w:rPr>
            </w:pPr>
            <w:r>
              <w:rPr>
                <w:rFonts w:hint="eastAsia"/>
                <w:sz w:val="28"/>
              </w:rPr>
              <w:t>规范与</w:t>
            </w:r>
          </w:p>
          <w:p>
            <w:pPr>
              <w:pStyle w:val="11"/>
              <w:spacing w:line="360" w:lineRule="auto"/>
              <w:ind w:left="136" w:right="125"/>
              <w:jc w:val="center"/>
              <w:rPr>
                <w:sz w:val="28"/>
              </w:rPr>
            </w:pPr>
            <w:r>
              <w:rPr>
                <w:rFonts w:hint="eastAsia"/>
                <w:sz w:val="28"/>
              </w:rPr>
              <w:t>安全</w:t>
            </w:r>
          </w:p>
        </w:tc>
        <w:tc>
          <w:tcPr>
            <w:tcW w:w="4936" w:type="dxa"/>
            <w:vAlign w:val="center"/>
          </w:tcPr>
          <w:p>
            <w:pPr>
              <w:pStyle w:val="11"/>
              <w:spacing w:line="360" w:lineRule="auto"/>
              <w:ind w:left="107"/>
              <w:jc w:val="center"/>
              <w:rPr>
                <w:sz w:val="28"/>
              </w:rPr>
            </w:pPr>
            <w:r>
              <w:rPr>
                <w:rFonts w:hint="eastAsia"/>
                <w:sz w:val="28"/>
              </w:rPr>
              <w:t>标识规范；文明操作规范；</w:t>
            </w:r>
          </w:p>
          <w:p>
            <w:pPr>
              <w:pStyle w:val="11"/>
              <w:spacing w:line="360" w:lineRule="auto"/>
              <w:ind w:left="107"/>
              <w:jc w:val="center"/>
              <w:rPr>
                <w:sz w:val="28"/>
              </w:rPr>
            </w:pPr>
            <w:r>
              <w:rPr>
                <w:rFonts w:hint="eastAsia"/>
                <w:sz w:val="28"/>
              </w:rPr>
              <w:t>安全操作规范；操作熟练度</w:t>
            </w:r>
          </w:p>
        </w:tc>
        <w:tc>
          <w:tcPr>
            <w:tcW w:w="1450" w:type="dxa"/>
            <w:vAlign w:val="center"/>
          </w:tcPr>
          <w:p>
            <w:pPr>
              <w:pStyle w:val="11"/>
              <w:spacing w:line="360" w:lineRule="auto"/>
              <w:ind w:left="425" w:right="414"/>
              <w:jc w:val="center"/>
              <w:rPr>
                <w:rFonts w:ascii="Times New Roman"/>
                <w:sz w:val="28"/>
              </w:rPr>
            </w:pPr>
            <w:r>
              <w:rPr>
                <w:rFonts w:ascii="Times New Roman"/>
                <w:sz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35" w:type="dxa"/>
            <w:vMerge w:val="continue"/>
            <w:vAlign w:val="center"/>
          </w:tcPr>
          <w:p>
            <w:pPr>
              <w:spacing w:line="360" w:lineRule="auto"/>
              <w:jc w:val="center"/>
              <w:rPr>
                <w:sz w:val="2"/>
                <w:szCs w:val="2"/>
              </w:rPr>
            </w:pPr>
          </w:p>
        </w:tc>
        <w:tc>
          <w:tcPr>
            <w:tcW w:w="858" w:type="dxa"/>
            <w:vMerge w:val="restart"/>
            <w:vAlign w:val="center"/>
          </w:tcPr>
          <w:p>
            <w:pPr>
              <w:pStyle w:val="11"/>
              <w:spacing w:line="360" w:lineRule="auto"/>
              <w:ind w:left="130" w:right="118"/>
              <w:jc w:val="center"/>
              <w:rPr>
                <w:sz w:val="28"/>
              </w:rPr>
            </w:pPr>
            <w:r>
              <w:rPr>
                <w:rFonts w:hint="eastAsia"/>
                <w:sz w:val="28"/>
              </w:rPr>
              <w:t>数据</w:t>
            </w:r>
          </w:p>
          <w:p>
            <w:pPr>
              <w:pStyle w:val="11"/>
              <w:spacing w:before="129" w:line="360" w:lineRule="auto"/>
              <w:ind w:left="130" w:right="118"/>
              <w:jc w:val="center"/>
              <w:rPr>
                <w:sz w:val="28"/>
              </w:rPr>
            </w:pPr>
            <w:r>
              <w:rPr>
                <w:rFonts w:hint="eastAsia"/>
                <w:sz w:val="28"/>
              </w:rPr>
              <w:t>处理</w:t>
            </w:r>
          </w:p>
        </w:tc>
        <w:tc>
          <w:tcPr>
            <w:tcW w:w="1207" w:type="dxa"/>
            <w:vAlign w:val="center"/>
          </w:tcPr>
          <w:p>
            <w:pPr>
              <w:pStyle w:val="11"/>
              <w:spacing w:before="134" w:line="360" w:lineRule="auto"/>
              <w:ind w:left="136" w:right="125"/>
              <w:jc w:val="center"/>
              <w:rPr>
                <w:sz w:val="28"/>
              </w:rPr>
            </w:pPr>
            <w:r>
              <w:rPr>
                <w:rFonts w:hint="eastAsia"/>
                <w:sz w:val="28"/>
              </w:rPr>
              <w:t>定性</w:t>
            </w:r>
          </w:p>
          <w:p>
            <w:pPr>
              <w:pStyle w:val="11"/>
              <w:spacing w:line="360" w:lineRule="auto"/>
              <w:ind w:left="136" w:right="125"/>
              <w:jc w:val="center"/>
              <w:rPr>
                <w:sz w:val="28"/>
              </w:rPr>
            </w:pPr>
            <w:r>
              <w:rPr>
                <w:rFonts w:hint="eastAsia"/>
                <w:sz w:val="28"/>
              </w:rPr>
              <w:t>分析</w:t>
            </w:r>
          </w:p>
        </w:tc>
        <w:tc>
          <w:tcPr>
            <w:tcW w:w="4936" w:type="dxa"/>
            <w:vAlign w:val="center"/>
          </w:tcPr>
          <w:p>
            <w:pPr>
              <w:pStyle w:val="11"/>
              <w:spacing w:before="134" w:line="360" w:lineRule="auto"/>
              <w:ind w:left="107"/>
              <w:jc w:val="center"/>
              <w:rPr>
                <w:sz w:val="28"/>
              </w:rPr>
            </w:pPr>
            <w:r>
              <w:rPr>
                <w:rFonts w:hint="eastAsia"/>
                <w:sz w:val="28"/>
              </w:rPr>
              <w:t>图谱解读；数据记录表填写；</w:t>
            </w:r>
          </w:p>
          <w:p>
            <w:pPr>
              <w:pStyle w:val="11"/>
              <w:spacing w:before="134" w:line="360" w:lineRule="auto"/>
              <w:ind w:left="107"/>
              <w:jc w:val="center"/>
              <w:rPr>
                <w:sz w:val="28"/>
              </w:rPr>
            </w:pPr>
            <w:r>
              <w:rPr>
                <w:rFonts w:hint="eastAsia"/>
                <w:sz w:val="28"/>
              </w:rPr>
              <w:t>标准溶液的配制</w:t>
            </w:r>
          </w:p>
        </w:tc>
        <w:tc>
          <w:tcPr>
            <w:tcW w:w="1450" w:type="dxa"/>
            <w:vAlign w:val="center"/>
          </w:tcPr>
          <w:p>
            <w:pPr>
              <w:pStyle w:val="11"/>
              <w:spacing w:line="360" w:lineRule="auto"/>
              <w:ind w:left="11"/>
              <w:jc w:val="center"/>
              <w:rPr>
                <w:rFonts w:ascii="Times New Roman"/>
                <w:sz w:val="28"/>
              </w:rPr>
            </w:pPr>
            <w:r>
              <w:rPr>
                <w:rFonts w:ascii="Times New Roman"/>
                <w:sz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35" w:type="dxa"/>
            <w:vMerge w:val="continue"/>
            <w:vAlign w:val="center"/>
          </w:tcPr>
          <w:p>
            <w:pPr>
              <w:spacing w:line="360" w:lineRule="auto"/>
              <w:jc w:val="center"/>
              <w:rPr>
                <w:sz w:val="2"/>
                <w:szCs w:val="2"/>
              </w:rPr>
            </w:pPr>
          </w:p>
        </w:tc>
        <w:tc>
          <w:tcPr>
            <w:tcW w:w="858" w:type="dxa"/>
            <w:vMerge w:val="continue"/>
            <w:vAlign w:val="center"/>
          </w:tcPr>
          <w:p>
            <w:pPr>
              <w:spacing w:line="360" w:lineRule="auto"/>
              <w:jc w:val="center"/>
              <w:rPr>
                <w:sz w:val="2"/>
                <w:szCs w:val="2"/>
              </w:rPr>
            </w:pPr>
          </w:p>
        </w:tc>
        <w:tc>
          <w:tcPr>
            <w:tcW w:w="1207" w:type="dxa"/>
            <w:vAlign w:val="center"/>
          </w:tcPr>
          <w:p>
            <w:pPr>
              <w:pStyle w:val="11"/>
              <w:spacing w:before="133" w:line="360" w:lineRule="auto"/>
              <w:ind w:left="136" w:right="125"/>
              <w:jc w:val="center"/>
              <w:rPr>
                <w:sz w:val="28"/>
              </w:rPr>
            </w:pPr>
            <w:r>
              <w:rPr>
                <w:rFonts w:hint="eastAsia"/>
                <w:sz w:val="28"/>
              </w:rPr>
              <w:t>定量</w:t>
            </w:r>
          </w:p>
          <w:p>
            <w:pPr>
              <w:pStyle w:val="11"/>
              <w:spacing w:line="360" w:lineRule="auto"/>
              <w:ind w:left="136" w:right="125"/>
              <w:jc w:val="center"/>
              <w:rPr>
                <w:sz w:val="28"/>
              </w:rPr>
            </w:pPr>
            <w:r>
              <w:rPr>
                <w:rFonts w:hint="eastAsia"/>
                <w:sz w:val="28"/>
              </w:rPr>
              <w:t>分析</w:t>
            </w:r>
          </w:p>
        </w:tc>
        <w:tc>
          <w:tcPr>
            <w:tcW w:w="4936" w:type="dxa"/>
            <w:vAlign w:val="center"/>
          </w:tcPr>
          <w:p>
            <w:pPr>
              <w:pStyle w:val="11"/>
              <w:spacing w:before="133" w:line="360" w:lineRule="auto"/>
              <w:ind w:left="107"/>
              <w:jc w:val="center"/>
              <w:rPr>
                <w:sz w:val="28"/>
              </w:rPr>
            </w:pPr>
            <w:r>
              <w:rPr>
                <w:rFonts w:hint="eastAsia"/>
                <w:sz w:val="28"/>
              </w:rPr>
              <w:t>数值修约原则；计算公式的使用；</w:t>
            </w:r>
          </w:p>
          <w:p>
            <w:pPr>
              <w:pStyle w:val="11"/>
              <w:spacing w:before="133" w:line="360" w:lineRule="auto"/>
              <w:ind w:left="107"/>
              <w:jc w:val="center"/>
              <w:rPr>
                <w:sz w:val="28"/>
              </w:rPr>
            </w:pPr>
            <w:r>
              <w:rPr>
                <w:rFonts w:hint="eastAsia"/>
                <w:sz w:val="28"/>
              </w:rPr>
              <w:t>准确度和精密度的计算</w:t>
            </w:r>
          </w:p>
        </w:tc>
        <w:tc>
          <w:tcPr>
            <w:tcW w:w="1450" w:type="dxa"/>
            <w:vAlign w:val="center"/>
          </w:tcPr>
          <w:p>
            <w:pPr>
              <w:pStyle w:val="11"/>
              <w:spacing w:line="360" w:lineRule="auto"/>
              <w:ind w:left="425" w:right="414"/>
              <w:jc w:val="center"/>
              <w:rPr>
                <w:rFonts w:ascii="Times New Roman"/>
                <w:sz w:val="28"/>
              </w:rPr>
            </w:pPr>
            <w:r>
              <w:rPr>
                <w:rFonts w:ascii="Times New Roman"/>
                <w:sz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35" w:type="dxa"/>
            <w:vMerge w:val="continue"/>
            <w:vAlign w:val="center"/>
          </w:tcPr>
          <w:p>
            <w:pPr>
              <w:spacing w:line="360" w:lineRule="auto"/>
              <w:jc w:val="center"/>
              <w:rPr>
                <w:sz w:val="2"/>
                <w:szCs w:val="2"/>
              </w:rPr>
            </w:pPr>
          </w:p>
        </w:tc>
        <w:tc>
          <w:tcPr>
            <w:tcW w:w="858" w:type="dxa"/>
            <w:vMerge w:val="restart"/>
            <w:vAlign w:val="center"/>
          </w:tcPr>
          <w:p>
            <w:pPr>
              <w:pStyle w:val="11"/>
              <w:spacing w:line="360" w:lineRule="auto"/>
              <w:ind w:left="130" w:right="118"/>
              <w:jc w:val="center"/>
              <w:rPr>
                <w:sz w:val="28"/>
              </w:rPr>
            </w:pPr>
            <w:r>
              <w:rPr>
                <w:rFonts w:hint="eastAsia"/>
                <w:sz w:val="28"/>
              </w:rPr>
              <w:t>气相</w:t>
            </w:r>
          </w:p>
          <w:p>
            <w:pPr>
              <w:pStyle w:val="11"/>
              <w:spacing w:before="128" w:line="360" w:lineRule="auto"/>
              <w:ind w:left="130" w:right="118"/>
              <w:jc w:val="center"/>
              <w:rPr>
                <w:sz w:val="28"/>
              </w:rPr>
            </w:pPr>
            <w:r>
              <w:rPr>
                <w:rFonts w:hint="eastAsia"/>
                <w:sz w:val="28"/>
              </w:rPr>
              <w:t>三维</w:t>
            </w:r>
          </w:p>
          <w:p>
            <w:pPr>
              <w:pStyle w:val="11"/>
              <w:spacing w:before="125" w:line="360" w:lineRule="auto"/>
              <w:ind w:left="130" w:right="118"/>
              <w:jc w:val="center"/>
              <w:rPr>
                <w:sz w:val="28"/>
              </w:rPr>
            </w:pPr>
            <w:r>
              <w:rPr>
                <w:rFonts w:hint="eastAsia"/>
                <w:sz w:val="28"/>
              </w:rPr>
              <w:t>仿真</w:t>
            </w:r>
          </w:p>
          <w:p>
            <w:pPr>
              <w:pStyle w:val="11"/>
              <w:spacing w:line="360" w:lineRule="auto"/>
              <w:ind w:left="130" w:right="118"/>
              <w:jc w:val="center"/>
              <w:rPr>
                <w:sz w:val="28"/>
              </w:rPr>
            </w:pPr>
            <w:r>
              <w:rPr>
                <w:rFonts w:hint="eastAsia"/>
                <w:sz w:val="28"/>
              </w:rPr>
              <w:t>操作</w:t>
            </w:r>
          </w:p>
        </w:tc>
        <w:tc>
          <w:tcPr>
            <w:tcW w:w="1207" w:type="dxa"/>
            <w:vAlign w:val="center"/>
          </w:tcPr>
          <w:p>
            <w:pPr>
              <w:pStyle w:val="11"/>
              <w:spacing w:line="360" w:lineRule="auto"/>
              <w:ind w:left="131" w:right="125"/>
              <w:jc w:val="center"/>
              <w:rPr>
                <w:sz w:val="28"/>
              </w:rPr>
            </w:pPr>
            <w:r>
              <w:rPr>
                <w:rFonts w:hint="eastAsia"/>
                <w:sz w:val="28"/>
              </w:rPr>
              <w:t>实验室</w:t>
            </w:r>
          </w:p>
          <w:p>
            <w:pPr>
              <w:pStyle w:val="11"/>
              <w:spacing w:line="360" w:lineRule="auto"/>
              <w:ind w:left="136" w:right="125"/>
              <w:jc w:val="center"/>
              <w:rPr>
                <w:sz w:val="28"/>
              </w:rPr>
            </w:pPr>
            <w:r>
              <w:rPr>
                <w:rFonts w:hint="eastAsia"/>
                <w:sz w:val="28"/>
              </w:rPr>
              <w:t>安全</w:t>
            </w:r>
          </w:p>
        </w:tc>
        <w:tc>
          <w:tcPr>
            <w:tcW w:w="4936" w:type="dxa"/>
            <w:vAlign w:val="center"/>
          </w:tcPr>
          <w:p>
            <w:pPr>
              <w:pStyle w:val="11"/>
              <w:spacing w:before="133" w:line="360" w:lineRule="auto"/>
              <w:ind w:left="107"/>
              <w:jc w:val="center"/>
              <w:rPr>
                <w:sz w:val="28"/>
              </w:rPr>
            </w:pPr>
            <w:r>
              <w:rPr>
                <w:rFonts w:hint="eastAsia"/>
                <w:sz w:val="28"/>
              </w:rPr>
              <w:t>实验室安全知识；实验仪器设备管理与</w:t>
            </w:r>
          </w:p>
          <w:p>
            <w:pPr>
              <w:pStyle w:val="11"/>
              <w:spacing w:line="360" w:lineRule="auto"/>
              <w:ind w:left="107"/>
              <w:jc w:val="center"/>
              <w:rPr>
                <w:sz w:val="28"/>
              </w:rPr>
            </w:pPr>
            <w:r>
              <w:rPr>
                <w:rFonts w:hint="eastAsia"/>
                <w:sz w:val="28"/>
              </w:rPr>
              <w:t>维护；检测过程中所涉及实验室安全隐</w:t>
            </w:r>
          </w:p>
          <w:p>
            <w:pPr>
              <w:pStyle w:val="11"/>
              <w:spacing w:line="360" w:lineRule="auto"/>
              <w:ind w:left="107"/>
              <w:rPr>
                <w:sz w:val="28"/>
              </w:rPr>
            </w:pPr>
            <w:r>
              <w:rPr>
                <w:rFonts w:hint="eastAsia"/>
                <w:sz w:val="28"/>
              </w:rPr>
              <w:t>患排查；安全防护用品使用及穿戴等</w:t>
            </w:r>
          </w:p>
        </w:tc>
        <w:tc>
          <w:tcPr>
            <w:tcW w:w="1450" w:type="dxa"/>
            <w:vAlign w:val="center"/>
          </w:tcPr>
          <w:p>
            <w:pPr>
              <w:pStyle w:val="11"/>
              <w:spacing w:line="360" w:lineRule="auto"/>
              <w:ind w:left="11"/>
              <w:jc w:val="center"/>
              <w:rPr>
                <w:rFonts w:ascii="Times New Roman"/>
                <w:sz w:val="28"/>
              </w:rPr>
            </w:pPr>
            <w:r>
              <w:rPr>
                <w:rFonts w:ascii="Times New Roman"/>
                <w:sz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35" w:type="dxa"/>
            <w:vMerge w:val="continue"/>
            <w:vAlign w:val="center"/>
          </w:tcPr>
          <w:p>
            <w:pPr>
              <w:spacing w:line="360" w:lineRule="auto"/>
              <w:jc w:val="center"/>
              <w:rPr>
                <w:sz w:val="2"/>
                <w:szCs w:val="2"/>
              </w:rPr>
            </w:pPr>
          </w:p>
        </w:tc>
        <w:tc>
          <w:tcPr>
            <w:tcW w:w="858" w:type="dxa"/>
            <w:vMerge w:val="continue"/>
            <w:vAlign w:val="center"/>
          </w:tcPr>
          <w:p>
            <w:pPr>
              <w:pStyle w:val="11"/>
              <w:spacing w:before="128" w:line="360" w:lineRule="auto"/>
              <w:ind w:left="130" w:right="118"/>
              <w:jc w:val="center"/>
              <w:rPr>
                <w:sz w:val="28"/>
              </w:rPr>
            </w:pPr>
          </w:p>
        </w:tc>
        <w:tc>
          <w:tcPr>
            <w:tcW w:w="1207" w:type="dxa"/>
            <w:vAlign w:val="center"/>
          </w:tcPr>
          <w:p>
            <w:pPr>
              <w:pStyle w:val="11"/>
              <w:spacing w:line="360" w:lineRule="auto"/>
              <w:ind w:left="131" w:right="125"/>
              <w:jc w:val="center"/>
              <w:rPr>
                <w:sz w:val="28"/>
              </w:rPr>
            </w:pPr>
            <w:r>
              <w:rPr>
                <w:rFonts w:hint="eastAsia"/>
                <w:sz w:val="28"/>
              </w:rPr>
              <w:t>工作站</w:t>
            </w:r>
          </w:p>
          <w:p>
            <w:pPr>
              <w:pStyle w:val="11"/>
              <w:spacing w:line="360" w:lineRule="auto"/>
              <w:ind w:left="136" w:right="125"/>
              <w:jc w:val="center"/>
              <w:rPr>
                <w:sz w:val="28"/>
              </w:rPr>
            </w:pPr>
            <w:r>
              <w:rPr>
                <w:rFonts w:hint="eastAsia"/>
                <w:sz w:val="28"/>
              </w:rPr>
              <w:t>仿真</w:t>
            </w:r>
          </w:p>
        </w:tc>
        <w:tc>
          <w:tcPr>
            <w:tcW w:w="4936" w:type="dxa"/>
            <w:vAlign w:val="center"/>
          </w:tcPr>
          <w:p>
            <w:pPr>
              <w:pStyle w:val="11"/>
              <w:spacing w:before="132" w:line="360" w:lineRule="auto"/>
              <w:ind w:left="107"/>
              <w:jc w:val="center"/>
              <w:rPr>
                <w:sz w:val="28"/>
              </w:rPr>
            </w:pPr>
            <w:r>
              <w:rPr>
                <w:rFonts w:hint="eastAsia"/>
                <w:sz w:val="28"/>
              </w:rPr>
              <w:t>能够正确配置标液；建立检测方法包括</w:t>
            </w:r>
          </w:p>
          <w:p>
            <w:pPr>
              <w:pStyle w:val="11"/>
              <w:spacing w:before="130" w:line="360" w:lineRule="auto"/>
              <w:ind w:left="107"/>
              <w:jc w:val="center"/>
              <w:rPr>
                <w:sz w:val="28"/>
              </w:rPr>
            </w:pPr>
            <w:r>
              <w:rPr>
                <w:rFonts w:hint="eastAsia"/>
                <w:sz w:val="28"/>
              </w:rPr>
              <w:t>进样口、检测器、色谱柱温度设置，气</w:t>
            </w:r>
          </w:p>
          <w:p>
            <w:pPr>
              <w:pStyle w:val="11"/>
              <w:spacing w:line="360" w:lineRule="auto"/>
              <w:ind w:left="107"/>
              <w:jc w:val="center"/>
              <w:rPr>
                <w:sz w:val="28"/>
              </w:rPr>
            </w:pPr>
            <w:r>
              <w:rPr>
                <w:rFonts w:hint="eastAsia"/>
                <w:sz w:val="28"/>
              </w:rPr>
              <w:t>体流量等设置；设置样品信息并进样；</w:t>
            </w:r>
          </w:p>
          <w:p>
            <w:pPr>
              <w:pStyle w:val="11"/>
              <w:spacing w:line="360" w:lineRule="auto"/>
              <w:ind w:left="107"/>
              <w:jc w:val="center"/>
              <w:rPr>
                <w:sz w:val="28"/>
              </w:rPr>
            </w:pPr>
            <w:r>
              <w:rPr>
                <w:rFonts w:hint="eastAsia"/>
                <w:sz w:val="28"/>
              </w:rPr>
              <w:t>建立标准曲线，对未知样品进行定性和</w:t>
            </w:r>
          </w:p>
          <w:p>
            <w:pPr>
              <w:pStyle w:val="11"/>
              <w:spacing w:before="128" w:line="360" w:lineRule="auto"/>
              <w:ind w:left="107"/>
              <w:jc w:val="center"/>
              <w:rPr>
                <w:sz w:val="28"/>
              </w:rPr>
            </w:pPr>
            <w:r>
              <w:rPr>
                <w:rFonts w:hint="eastAsia"/>
                <w:sz w:val="28"/>
              </w:rPr>
              <w:t>定量分析</w:t>
            </w:r>
          </w:p>
        </w:tc>
        <w:tc>
          <w:tcPr>
            <w:tcW w:w="1450" w:type="dxa"/>
            <w:vAlign w:val="center"/>
          </w:tcPr>
          <w:p>
            <w:pPr>
              <w:pStyle w:val="11"/>
              <w:spacing w:line="360" w:lineRule="auto"/>
              <w:ind w:left="425" w:right="414"/>
              <w:jc w:val="center"/>
              <w:rPr>
                <w:rFonts w:ascii="Times New Roman"/>
                <w:sz w:val="28"/>
              </w:rPr>
            </w:pPr>
            <w:r>
              <w:rPr>
                <w:rFonts w:ascii="Times New Roman"/>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835" w:type="dxa"/>
            <w:vMerge w:val="continue"/>
            <w:vAlign w:val="center"/>
          </w:tcPr>
          <w:p>
            <w:pPr>
              <w:spacing w:line="360" w:lineRule="auto"/>
              <w:jc w:val="center"/>
              <w:rPr>
                <w:sz w:val="2"/>
                <w:szCs w:val="2"/>
              </w:rPr>
            </w:pPr>
          </w:p>
        </w:tc>
        <w:tc>
          <w:tcPr>
            <w:tcW w:w="858" w:type="dxa"/>
            <w:vAlign w:val="center"/>
          </w:tcPr>
          <w:p>
            <w:pPr>
              <w:pStyle w:val="11"/>
              <w:spacing w:line="360" w:lineRule="auto"/>
              <w:ind w:left="192"/>
              <w:jc w:val="center"/>
              <w:rPr>
                <w:sz w:val="28"/>
              </w:rPr>
            </w:pPr>
            <w:r>
              <w:rPr>
                <w:rFonts w:hint="eastAsia"/>
                <w:sz w:val="28"/>
              </w:rPr>
              <w:t>基础理论测试</w:t>
            </w:r>
          </w:p>
        </w:tc>
        <w:tc>
          <w:tcPr>
            <w:tcW w:w="1207" w:type="dxa"/>
            <w:vAlign w:val="center"/>
          </w:tcPr>
          <w:p>
            <w:pPr>
              <w:pStyle w:val="11"/>
              <w:spacing w:before="128" w:line="360" w:lineRule="auto"/>
              <w:ind w:left="107"/>
              <w:jc w:val="center"/>
              <w:rPr>
                <w:sz w:val="28"/>
              </w:rPr>
            </w:pPr>
          </w:p>
        </w:tc>
        <w:tc>
          <w:tcPr>
            <w:tcW w:w="4936" w:type="dxa"/>
            <w:vAlign w:val="center"/>
          </w:tcPr>
          <w:p>
            <w:pPr>
              <w:pStyle w:val="11"/>
              <w:spacing w:before="132" w:line="360" w:lineRule="auto"/>
              <w:ind w:left="106"/>
              <w:jc w:val="center"/>
              <w:rPr>
                <w:sz w:val="28"/>
              </w:rPr>
            </w:pPr>
            <w:r>
              <w:rPr>
                <w:rFonts w:hint="eastAsia"/>
                <w:sz w:val="28"/>
              </w:rPr>
              <w:t>农产品质量安全检测基础理论、仪器</w:t>
            </w:r>
          </w:p>
          <w:p>
            <w:pPr>
              <w:pStyle w:val="11"/>
              <w:spacing w:before="137" w:line="360" w:lineRule="auto"/>
              <w:ind w:left="106"/>
              <w:jc w:val="center"/>
              <w:rPr>
                <w:sz w:val="28"/>
              </w:rPr>
            </w:pPr>
            <w:r>
              <w:rPr>
                <w:rFonts w:hint="eastAsia"/>
                <w:sz w:val="28"/>
              </w:rPr>
              <w:t>分析（气相、液相、原吸、紫外可见</w:t>
            </w:r>
          </w:p>
          <w:p>
            <w:pPr>
              <w:pStyle w:val="11"/>
              <w:spacing w:line="360" w:lineRule="auto"/>
              <w:ind w:left="425" w:right="414"/>
              <w:jc w:val="center"/>
              <w:rPr>
                <w:rFonts w:ascii="Times New Roman"/>
                <w:sz w:val="28"/>
              </w:rPr>
            </w:pPr>
            <w:r>
              <w:rPr>
                <w:rFonts w:hint="eastAsia"/>
                <w:sz w:val="28"/>
              </w:rPr>
              <w:t>光谱等）、样品前处理、数据分析、实验室安全等相关知识。</w:t>
            </w:r>
          </w:p>
        </w:tc>
        <w:tc>
          <w:tcPr>
            <w:tcW w:w="1450" w:type="dxa"/>
            <w:vAlign w:val="center"/>
          </w:tcPr>
          <w:p>
            <w:pPr>
              <w:pStyle w:val="11"/>
              <w:spacing w:line="360" w:lineRule="auto"/>
              <w:ind w:left="425" w:right="414"/>
              <w:jc w:val="center"/>
              <w:rPr>
                <w:rFonts w:ascii="Times New Roman"/>
                <w:sz w:val="28"/>
              </w:rPr>
            </w:pPr>
            <w:r>
              <w:rPr>
                <w:rFonts w:ascii="Times New Roman"/>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835" w:type="dxa"/>
            <w:vMerge w:val="continue"/>
            <w:vAlign w:val="center"/>
          </w:tcPr>
          <w:p>
            <w:pPr>
              <w:pStyle w:val="11"/>
              <w:spacing w:line="360" w:lineRule="auto"/>
              <w:jc w:val="center"/>
              <w:rPr>
                <w:rFonts w:ascii="Times New Roman"/>
                <w:sz w:val="28"/>
              </w:rPr>
            </w:pPr>
          </w:p>
        </w:tc>
        <w:tc>
          <w:tcPr>
            <w:tcW w:w="7001" w:type="dxa"/>
            <w:gridSpan w:val="3"/>
            <w:vAlign w:val="center"/>
          </w:tcPr>
          <w:p>
            <w:pPr>
              <w:pStyle w:val="11"/>
              <w:spacing w:line="360" w:lineRule="auto"/>
              <w:ind w:left="107"/>
              <w:jc w:val="center"/>
              <w:rPr>
                <w:sz w:val="28"/>
              </w:rPr>
            </w:pPr>
            <w:r>
              <w:rPr>
                <w:rFonts w:hint="eastAsia"/>
                <w:sz w:val="28"/>
              </w:rPr>
              <w:t>总计</w:t>
            </w:r>
          </w:p>
        </w:tc>
        <w:tc>
          <w:tcPr>
            <w:tcW w:w="1450" w:type="dxa"/>
            <w:vAlign w:val="center"/>
          </w:tcPr>
          <w:p>
            <w:pPr>
              <w:pStyle w:val="11"/>
              <w:spacing w:line="360" w:lineRule="auto"/>
              <w:ind w:left="425" w:right="414"/>
              <w:jc w:val="center"/>
              <w:rPr>
                <w:rFonts w:ascii="Times New Roman"/>
                <w:sz w:val="28"/>
              </w:rPr>
            </w:pPr>
            <w:r>
              <w:rPr>
                <w:rFonts w:ascii="Times New Roman"/>
                <w:sz w:val="28"/>
              </w:rPr>
              <w:t>105</w:t>
            </w:r>
          </w:p>
        </w:tc>
      </w:tr>
    </w:tbl>
    <w:p>
      <w:pPr>
        <w:pStyle w:val="10"/>
        <w:tabs>
          <w:tab w:val="left" w:pos="852"/>
        </w:tabs>
        <w:spacing w:before="228" w:line="360" w:lineRule="auto"/>
        <w:ind w:left="0" w:firstLine="548" w:firstLineChars="200"/>
        <w:rPr>
          <w:sz w:val="28"/>
        </w:rPr>
      </w:pPr>
      <w:r>
        <w:rPr>
          <w:spacing w:val="-3"/>
          <w:sz w:val="28"/>
        </w:rPr>
        <w:t>2.</w:t>
      </w:r>
      <w:r>
        <w:rPr>
          <w:rFonts w:hint="eastAsia"/>
          <w:spacing w:val="-3"/>
          <w:sz w:val="28"/>
        </w:rPr>
        <w:t>重金属污染物检测项目</w:t>
      </w:r>
    </w:p>
    <w:p>
      <w:pPr>
        <w:pStyle w:val="4"/>
        <w:spacing w:before="71" w:line="360" w:lineRule="auto"/>
        <w:ind w:left="0" w:firstLine="520" w:firstLineChars="200"/>
      </w:pPr>
      <w:r>
        <w:rPr>
          <w:rFonts w:hint="eastAsia"/>
          <w:spacing w:val="-10"/>
        </w:rPr>
        <w:t>（</w:t>
      </w:r>
      <w:r>
        <w:rPr>
          <w:spacing w:val="-10"/>
        </w:rPr>
        <w:t>1</w:t>
      </w:r>
      <w:r>
        <w:rPr>
          <w:rFonts w:hint="eastAsia"/>
          <w:spacing w:val="-10"/>
        </w:rPr>
        <w:t>）预处理时间为</w:t>
      </w:r>
      <w:r>
        <w:rPr>
          <w:rFonts w:ascii="Times New Roman"/>
        </w:rPr>
        <w:t>120</w:t>
      </w:r>
      <w:r>
        <w:rPr>
          <w:rFonts w:hint="eastAsia" w:ascii="Times New Roman"/>
        </w:rPr>
        <w:t>分钟</w:t>
      </w:r>
      <w:r>
        <w:rPr>
          <w:rFonts w:hint="eastAsia"/>
          <w:spacing w:val="-6"/>
        </w:rPr>
        <w:t>，上机检测时间为</w:t>
      </w:r>
      <w:r>
        <w:rPr>
          <w:rFonts w:ascii="Times New Roman"/>
        </w:rPr>
        <w:t>30</w:t>
      </w:r>
      <w:r>
        <w:rPr>
          <w:rFonts w:hint="eastAsia" w:ascii="Times New Roman"/>
        </w:rPr>
        <w:t>分钟</w:t>
      </w:r>
      <w:r>
        <w:rPr>
          <w:rFonts w:hint="eastAsia"/>
        </w:rPr>
        <w:t>，学生须按规定时间完成操作，超时</w:t>
      </w:r>
      <w:r>
        <w:rPr>
          <w:rFonts w:ascii="Times New Roman" w:eastAsia="Times New Roman"/>
        </w:rPr>
        <w:t>10</w:t>
      </w:r>
      <w:r>
        <w:rPr>
          <w:rFonts w:hint="eastAsia"/>
        </w:rPr>
        <w:t>分钟以内，每分钟扣</w:t>
      </w:r>
      <w:r>
        <w:rPr>
          <w:rFonts w:ascii="Times New Roman" w:eastAsia="Times New Roman"/>
        </w:rPr>
        <w:t>0.3</w:t>
      </w:r>
      <w:r>
        <w:rPr>
          <w:rFonts w:hint="eastAsia"/>
        </w:rPr>
        <w:t>分；</w:t>
      </w:r>
      <w:r>
        <w:rPr>
          <w:rFonts w:ascii="Times New Roman" w:eastAsia="Times New Roman"/>
        </w:rPr>
        <w:t>10</w:t>
      </w:r>
      <w:r>
        <w:rPr>
          <w:rFonts w:hint="eastAsia"/>
        </w:rPr>
        <w:t>分钟以上每分钟扣</w:t>
      </w:r>
      <w:r>
        <w:rPr>
          <w:rFonts w:ascii="Times New Roman" w:eastAsia="Times New Roman"/>
        </w:rPr>
        <w:t>0.5</w:t>
      </w:r>
      <w:r>
        <w:rPr>
          <w:rFonts w:hint="eastAsia"/>
        </w:rPr>
        <w:t>分，最高扣</w:t>
      </w:r>
      <w:r>
        <w:rPr>
          <w:rFonts w:ascii="Times New Roman" w:eastAsia="Times New Roman"/>
        </w:rPr>
        <w:t>10</w:t>
      </w:r>
      <w:r>
        <w:rPr>
          <w:rFonts w:hint="eastAsia"/>
        </w:rPr>
        <w:t>分，超时</w:t>
      </w:r>
      <w:r>
        <w:rPr>
          <w:rFonts w:ascii="Times New Roman" w:eastAsia="Times New Roman"/>
        </w:rPr>
        <w:t>30</w:t>
      </w:r>
      <w:r>
        <w:rPr>
          <w:rFonts w:hint="eastAsia"/>
        </w:rPr>
        <w:t>分钟停止操作。</w:t>
      </w:r>
    </w:p>
    <w:p>
      <w:pPr>
        <w:pStyle w:val="4"/>
        <w:spacing w:before="71" w:line="360" w:lineRule="auto"/>
        <w:ind w:left="0" w:firstLine="560" w:firstLineChars="200"/>
      </w:pPr>
      <w:r>
        <w:rPr>
          <w:rFonts w:hint="eastAsia"/>
        </w:rPr>
        <w:t>（</w:t>
      </w:r>
      <w:r>
        <w:t>2</w:t>
      </w:r>
      <w:r>
        <w:rPr>
          <w:rFonts w:hint="eastAsia"/>
        </w:rPr>
        <w:t>）</w:t>
      </w:r>
      <w:r>
        <w:rPr>
          <w:rFonts w:hint="eastAsia"/>
          <w:spacing w:val="-5"/>
        </w:rPr>
        <w:t>数据处理时间为</w:t>
      </w:r>
      <w:r>
        <w:rPr>
          <w:rFonts w:ascii="Times New Roman" w:eastAsia="Times New Roman"/>
        </w:rPr>
        <w:t>45</w:t>
      </w:r>
      <w:r>
        <w:rPr>
          <w:rFonts w:hint="eastAsia"/>
          <w:spacing w:val="-1"/>
        </w:rPr>
        <w:t>分钟。学生须按规定时间完成操作，超时停</w:t>
      </w:r>
      <w:r>
        <w:rPr>
          <w:rFonts w:hint="eastAsia"/>
          <w:spacing w:val="-2"/>
        </w:rPr>
        <w:t>止操作。</w:t>
      </w:r>
    </w:p>
    <w:p>
      <w:pPr>
        <w:pStyle w:val="10"/>
        <w:tabs>
          <w:tab w:val="left" w:pos="1341"/>
        </w:tabs>
        <w:spacing w:line="360" w:lineRule="auto"/>
        <w:ind w:left="0" w:firstLine="548" w:firstLineChars="200"/>
        <w:rPr>
          <w:spacing w:val="-3"/>
          <w:sz w:val="28"/>
        </w:rPr>
      </w:pPr>
      <w:r>
        <w:rPr>
          <w:rFonts w:hint="eastAsia"/>
          <w:spacing w:val="-3"/>
          <w:sz w:val="28"/>
        </w:rPr>
        <w:t>（</w:t>
      </w:r>
      <w:r>
        <w:rPr>
          <w:spacing w:val="-3"/>
          <w:sz w:val="28"/>
        </w:rPr>
        <w:t>3</w:t>
      </w:r>
      <w:r>
        <w:rPr>
          <w:rFonts w:hint="eastAsia"/>
          <w:spacing w:val="-3"/>
          <w:sz w:val="28"/>
        </w:rPr>
        <w:t>）评分参考标准</w:t>
      </w:r>
    </w:p>
    <w:p>
      <w:pPr>
        <w:pStyle w:val="10"/>
        <w:tabs>
          <w:tab w:val="left" w:pos="1341"/>
        </w:tabs>
        <w:spacing w:line="360" w:lineRule="auto"/>
        <w:ind w:left="0" w:firstLine="548" w:firstLineChars="200"/>
        <w:rPr>
          <w:spacing w:val="-3"/>
          <w:sz w:val="28"/>
        </w:rPr>
      </w:pPr>
    </w:p>
    <w:p>
      <w:pPr>
        <w:pStyle w:val="10"/>
        <w:tabs>
          <w:tab w:val="left" w:pos="1341"/>
        </w:tabs>
        <w:spacing w:line="360" w:lineRule="auto"/>
        <w:ind w:left="0" w:firstLine="548" w:firstLineChars="200"/>
        <w:rPr>
          <w:spacing w:val="-3"/>
          <w:sz w:val="28"/>
        </w:rPr>
      </w:pPr>
    </w:p>
    <w:p>
      <w:pPr>
        <w:pStyle w:val="10"/>
        <w:tabs>
          <w:tab w:val="left" w:pos="1341"/>
        </w:tabs>
        <w:spacing w:line="360" w:lineRule="auto"/>
        <w:ind w:left="0" w:firstLine="560" w:firstLineChars="200"/>
        <w:rPr>
          <w:sz w:val="28"/>
        </w:rPr>
      </w:pPr>
    </w:p>
    <w:tbl>
      <w:tblPr>
        <w:tblStyle w:val="5"/>
        <w:tblW w:w="500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1"/>
        <w:gridCol w:w="641"/>
        <w:gridCol w:w="1158"/>
        <w:gridCol w:w="6146"/>
        <w:gridCol w:w="1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72" w:type="pct"/>
            <w:vAlign w:val="center"/>
          </w:tcPr>
          <w:p>
            <w:pPr>
              <w:pStyle w:val="11"/>
              <w:spacing w:before="133" w:line="360" w:lineRule="auto"/>
              <w:ind w:left="122" w:right="113"/>
              <w:jc w:val="center"/>
              <w:rPr>
                <w:sz w:val="28"/>
              </w:rPr>
            </w:pPr>
            <w:r>
              <w:rPr>
                <w:rFonts w:hint="eastAsia"/>
                <w:sz w:val="28"/>
              </w:rPr>
              <w:t>项目</w:t>
            </w:r>
          </w:p>
        </w:tc>
        <w:tc>
          <w:tcPr>
            <w:tcW w:w="940" w:type="pct"/>
            <w:gridSpan w:val="2"/>
            <w:vAlign w:val="center"/>
          </w:tcPr>
          <w:p>
            <w:pPr>
              <w:pStyle w:val="11"/>
              <w:spacing w:before="133" w:line="360" w:lineRule="auto"/>
              <w:jc w:val="center"/>
              <w:rPr>
                <w:sz w:val="28"/>
              </w:rPr>
            </w:pPr>
            <w:r>
              <w:rPr>
                <w:rFonts w:hint="eastAsia"/>
                <w:sz w:val="28"/>
              </w:rPr>
              <w:t>考核内容</w:t>
            </w:r>
          </w:p>
        </w:tc>
        <w:tc>
          <w:tcPr>
            <w:tcW w:w="3211" w:type="pct"/>
            <w:vAlign w:val="center"/>
          </w:tcPr>
          <w:p>
            <w:pPr>
              <w:pStyle w:val="11"/>
              <w:spacing w:before="133" w:line="360" w:lineRule="auto"/>
              <w:jc w:val="center"/>
              <w:rPr>
                <w:sz w:val="28"/>
              </w:rPr>
            </w:pPr>
            <w:r>
              <w:rPr>
                <w:rFonts w:hint="eastAsia"/>
                <w:sz w:val="28"/>
              </w:rPr>
              <w:t>考核知识点</w:t>
            </w:r>
            <w:r>
              <w:rPr>
                <w:rFonts w:ascii="Times New Roman" w:eastAsia="Times New Roman"/>
                <w:sz w:val="28"/>
              </w:rPr>
              <w:t>/</w:t>
            </w:r>
            <w:r>
              <w:rPr>
                <w:rFonts w:hint="eastAsia"/>
                <w:sz w:val="28"/>
              </w:rPr>
              <w:t>技能点</w:t>
            </w:r>
          </w:p>
        </w:tc>
        <w:tc>
          <w:tcPr>
            <w:tcW w:w="577" w:type="pct"/>
            <w:vAlign w:val="center"/>
          </w:tcPr>
          <w:p>
            <w:pPr>
              <w:pStyle w:val="11"/>
              <w:spacing w:before="133" w:line="360" w:lineRule="auto"/>
              <w:ind w:left="147" w:right="135"/>
              <w:jc w:val="center"/>
              <w:rPr>
                <w:sz w:val="28"/>
              </w:rPr>
            </w:pPr>
            <w:r>
              <w:rPr>
                <w:rFonts w:hint="eastAsia"/>
                <w:sz w:val="28"/>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2" w:type="pct"/>
            <w:vMerge w:val="restart"/>
            <w:vAlign w:val="center"/>
          </w:tcPr>
          <w:p>
            <w:pPr>
              <w:pStyle w:val="11"/>
              <w:spacing w:line="360" w:lineRule="auto"/>
              <w:ind w:left="122" w:right="113"/>
              <w:jc w:val="center"/>
              <w:rPr>
                <w:sz w:val="28"/>
              </w:rPr>
            </w:pPr>
          </w:p>
          <w:p>
            <w:pPr>
              <w:pStyle w:val="11"/>
              <w:spacing w:line="360" w:lineRule="auto"/>
              <w:ind w:left="122" w:right="113"/>
              <w:jc w:val="center"/>
              <w:rPr>
                <w:sz w:val="28"/>
              </w:rPr>
            </w:pPr>
          </w:p>
          <w:p>
            <w:pPr>
              <w:pStyle w:val="11"/>
              <w:spacing w:line="360" w:lineRule="auto"/>
              <w:ind w:left="122" w:right="113"/>
              <w:jc w:val="center"/>
              <w:rPr>
                <w:sz w:val="28"/>
              </w:rPr>
            </w:pPr>
          </w:p>
          <w:p>
            <w:pPr>
              <w:pStyle w:val="11"/>
              <w:spacing w:line="360" w:lineRule="auto"/>
              <w:ind w:left="122" w:right="113"/>
              <w:jc w:val="center"/>
              <w:rPr>
                <w:sz w:val="28"/>
              </w:rPr>
            </w:pPr>
          </w:p>
          <w:p>
            <w:pPr>
              <w:pStyle w:val="11"/>
              <w:spacing w:line="360" w:lineRule="auto"/>
              <w:ind w:left="122" w:right="113"/>
              <w:jc w:val="center"/>
              <w:rPr>
                <w:sz w:val="28"/>
              </w:rPr>
            </w:pPr>
          </w:p>
          <w:p>
            <w:pPr>
              <w:pStyle w:val="11"/>
              <w:spacing w:line="360" w:lineRule="auto"/>
              <w:ind w:left="122" w:right="113"/>
              <w:jc w:val="center"/>
              <w:rPr>
                <w:sz w:val="28"/>
              </w:rPr>
            </w:pPr>
            <w:r>
              <w:rPr>
                <w:rFonts w:hint="eastAsia"/>
                <w:sz w:val="28"/>
              </w:rPr>
              <w:t>茶叶</w:t>
            </w:r>
          </w:p>
          <w:p>
            <w:pPr>
              <w:pStyle w:val="11"/>
              <w:spacing w:line="360" w:lineRule="auto"/>
              <w:ind w:left="122" w:right="113"/>
              <w:jc w:val="center"/>
              <w:rPr>
                <w:sz w:val="28"/>
              </w:rPr>
            </w:pPr>
            <w:r>
              <w:rPr>
                <w:rFonts w:hint="eastAsia"/>
                <w:sz w:val="28"/>
              </w:rPr>
              <w:t>中重</w:t>
            </w:r>
          </w:p>
          <w:p>
            <w:pPr>
              <w:pStyle w:val="11"/>
              <w:spacing w:line="360" w:lineRule="auto"/>
              <w:ind w:left="141"/>
              <w:rPr>
                <w:sz w:val="28"/>
              </w:rPr>
            </w:pPr>
            <w:r>
              <w:rPr>
                <w:rFonts w:hint="eastAsia"/>
                <w:sz w:val="28"/>
              </w:rPr>
              <w:t>金属</w:t>
            </w:r>
          </w:p>
          <w:p>
            <w:pPr>
              <w:pStyle w:val="11"/>
              <w:spacing w:line="360" w:lineRule="auto"/>
              <w:ind w:left="122" w:right="113"/>
              <w:jc w:val="center"/>
              <w:rPr>
                <w:sz w:val="28"/>
              </w:rPr>
            </w:pPr>
            <w:r>
              <w:rPr>
                <w:rFonts w:hint="eastAsia"/>
                <w:sz w:val="28"/>
              </w:rPr>
              <w:t>含量</w:t>
            </w:r>
          </w:p>
          <w:p>
            <w:pPr>
              <w:pStyle w:val="11"/>
              <w:spacing w:line="360" w:lineRule="auto"/>
              <w:ind w:left="122" w:right="113"/>
              <w:jc w:val="center"/>
              <w:rPr>
                <w:sz w:val="28"/>
              </w:rPr>
            </w:pPr>
            <w:r>
              <w:rPr>
                <w:rFonts w:hint="eastAsia"/>
                <w:sz w:val="28"/>
              </w:rPr>
              <w:t>的检</w:t>
            </w:r>
          </w:p>
          <w:p>
            <w:pPr>
              <w:pStyle w:val="11"/>
              <w:spacing w:line="360" w:lineRule="auto"/>
              <w:jc w:val="center"/>
              <w:rPr>
                <w:sz w:val="28"/>
              </w:rPr>
            </w:pPr>
            <w:r>
              <w:rPr>
                <w:rFonts w:hint="eastAsia"/>
                <w:sz w:val="28"/>
              </w:rPr>
              <w:t>测</w:t>
            </w:r>
          </w:p>
        </w:tc>
        <w:tc>
          <w:tcPr>
            <w:tcW w:w="335" w:type="pct"/>
            <w:vMerge w:val="restart"/>
            <w:vAlign w:val="center"/>
          </w:tcPr>
          <w:p>
            <w:pPr>
              <w:pStyle w:val="11"/>
              <w:spacing w:before="142" w:line="360" w:lineRule="auto"/>
              <w:ind w:left="143" w:right="133"/>
              <w:jc w:val="center"/>
              <w:rPr>
                <w:sz w:val="28"/>
              </w:rPr>
            </w:pPr>
            <w:r>
              <w:rPr>
                <w:rFonts w:hint="eastAsia"/>
                <w:sz w:val="28"/>
              </w:rPr>
              <w:t>样品</w:t>
            </w:r>
          </w:p>
          <w:p>
            <w:pPr>
              <w:pStyle w:val="11"/>
              <w:spacing w:before="132" w:line="360" w:lineRule="auto"/>
              <w:ind w:left="143" w:right="133"/>
              <w:jc w:val="center"/>
              <w:rPr>
                <w:sz w:val="28"/>
              </w:rPr>
            </w:pPr>
            <w:r>
              <w:rPr>
                <w:rFonts w:hint="eastAsia"/>
                <w:sz w:val="28"/>
              </w:rPr>
              <w:t>预处</w:t>
            </w:r>
          </w:p>
          <w:p>
            <w:pPr>
              <w:pStyle w:val="11"/>
              <w:spacing w:before="122" w:line="360" w:lineRule="auto"/>
              <w:ind w:left="12"/>
              <w:jc w:val="center"/>
              <w:rPr>
                <w:sz w:val="28"/>
              </w:rPr>
            </w:pPr>
            <w:r>
              <w:rPr>
                <w:rFonts w:hint="eastAsia"/>
                <w:sz w:val="28"/>
              </w:rPr>
              <w:t>理</w:t>
            </w:r>
          </w:p>
        </w:tc>
        <w:tc>
          <w:tcPr>
            <w:tcW w:w="605" w:type="pct"/>
            <w:vAlign w:val="center"/>
          </w:tcPr>
          <w:p>
            <w:pPr>
              <w:pStyle w:val="11"/>
              <w:spacing w:before="132" w:line="360" w:lineRule="auto"/>
              <w:ind w:left="147" w:right="135"/>
              <w:jc w:val="center"/>
              <w:rPr>
                <w:sz w:val="28"/>
              </w:rPr>
            </w:pPr>
            <w:r>
              <w:rPr>
                <w:rFonts w:hint="eastAsia"/>
                <w:sz w:val="28"/>
              </w:rPr>
              <w:t>样品</w:t>
            </w:r>
          </w:p>
          <w:p>
            <w:pPr>
              <w:pStyle w:val="11"/>
              <w:spacing w:before="132" w:line="360" w:lineRule="auto"/>
              <w:ind w:left="147" w:right="135"/>
              <w:jc w:val="center"/>
              <w:rPr>
                <w:sz w:val="28"/>
              </w:rPr>
            </w:pPr>
            <w:r>
              <w:rPr>
                <w:rFonts w:hint="eastAsia"/>
                <w:sz w:val="28"/>
              </w:rPr>
              <w:t>称量</w:t>
            </w:r>
          </w:p>
        </w:tc>
        <w:tc>
          <w:tcPr>
            <w:tcW w:w="3211" w:type="pct"/>
            <w:vAlign w:val="center"/>
          </w:tcPr>
          <w:p>
            <w:pPr>
              <w:pStyle w:val="11"/>
              <w:spacing w:before="132" w:line="360" w:lineRule="auto"/>
              <w:ind w:left="106"/>
              <w:jc w:val="center"/>
              <w:rPr>
                <w:sz w:val="28"/>
              </w:rPr>
            </w:pPr>
            <w:r>
              <w:rPr>
                <w:rFonts w:hint="eastAsia"/>
                <w:sz w:val="28"/>
              </w:rPr>
              <w:t>分析天平的使用</w:t>
            </w:r>
          </w:p>
        </w:tc>
        <w:tc>
          <w:tcPr>
            <w:tcW w:w="577" w:type="pct"/>
            <w:vAlign w:val="center"/>
          </w:tcPr>
          <w:p>
            <w:pPr>
              <w:pStyle w:val="11"/>
              <w:spacing w:before="151" w:line="360" w:lineRule="auto"/>
              <w:ind w:left="8"/>
              <w:jc w:val="center"/>
              <w:rPr>
                <w:rFonts w:ascii="Times New Roman"/>
                <w:sz w:val="28"/>
              </w:rPr>
            </w:pPr>
            <w:r>
              <w:rPr>
                <w:rFonts w:ascii="Times New Roman"/>
                <w:sz w:val="2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2" w:type="pct"/>
            <w:vMerge w:val="continue"/>
            <w:vAlign w:val="center"/>
          </w:tcPr>
          <w:p>
            <w:pPr>
              <w:pStyle w:val="11"/>
              <w:spacing w:line="360" w:lineRule="auto"/>
              <w:jc w:val="center"/>
              <w:rPr>
                <w:rFonts w:ascii="Times New Roman"/>
                <w:sz w:val="28"/>
              </w:rPr>
            </w:pPr>
          </w:p>
        </w:tc>
        <w:tc>
          <w:tcPr>
            <w:tcW w:w="335" w:type="pct"/>
            <w:vMerge w:val="continue"/>
            <w:vAlign w:val="center"/>
          </w:tcPr>
          <w:p>
            <w:pPr>
              <w:pStyle w:val="11"/>
              <w:spacing w:before="132" w:line="360" w:lineRule="auto"/>
              <w:ind w:left="143" w:right="133"/>
              <w:jc w:val="center"/>
              <w:rPr>
                <w:sz w:val="28"/>
              </w:rPr>
            </w:pPr>
          </w:p>
        </w:tc>
        <w:tc>
          <w:tcPr>
            <w:tcW w:w="605" w:type="pct"/>
            <w:vAlign w:val="center"/>
          </w:tcPr>
          <w:p>
            <w:pPr>
              <w:pStyle w:val="11"/>
              <w:spacing w:before="132" w:line="360" w:lineRule="auto"/>
              <w:ind w:left="147" w:right="135"/>
              <w:jc w:val="center"/>
              <w:rPr>
                <w:sz w:val="28"/>
              </w:rPr>
            </w:pPr>
            <w:r>
              <w:rPr>
                <w:rFonts w:hint="eastAsia"/>
                <w:sz w:val="28"/>
              </w:rPr>
              <w:t>标准溶液配制</w:t>
            </w:r>
          </w:p>
        </w:tc>
        <w:tc>
          <w:tcPr>
            <w:tcW w:w="3211" w:type="pct"/>
            <w:vAlign w:val="center"/>
          </w:tcPr>
          <w:p>
            <w:pPr>
              <w:pStyle w:val="11"/>
              <w:spacing w:before="132" w:line="360" w:lineRule="auto"/>
              <w:ind w:left="106"/>
              <w:jc w:val="center"/>
              <w:rPr>
                <w:sz w:val="28"/>
              </w:rPr>
            </w:pPr>
            <w:r>
              <w:rPr>
                <w:rFonts w:hint="eastAsia"/>
                <w:sz w:val="28"/>
              </w:rPr>
              <w:t>移液管的使用；容量瓶的使用</w:t>
            </w:r>
          </w:p>
        </w:tc>
        <w:tc>
          <w:tcPr>
            <w:tcW w:w="577" w:type="pct"/>
            <w:vAlign w:val="center"/>
          </w:tcPr>
          <w:p>
            <w:pPr>
              <w:pStyle w:val="11"/>
              <w:spacing w:before="150" w:line="360" w:lineRule="auto"/>
              <w:ind w:left="145" w:right="135"/>
              <w:jc w:val="center"/>
              <w:rPr>
                <w:rFonts w:ascii="Times New Roman"/>
                <w:sz w:val="28"/>
              </w:rPr>
            </w:pPr>
            <w:r>
              <w:rPr>
                <w:rFonts w:ascii="Times New Roman"/>
                <w:sz w:val="28"/>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72" w:type="pct"/>
            <w:vMerge w:val="continue"/>
            <w:vAlign w:val="center"/>
          </w:tcPr>
          <w:p>
            <w:pPr>
              <w:pStyle w:val="11"/>
              <w:spacing w:line="360" w:lineRule="auto"/>
              <w:jc w:val="center"/>
              <w:rPr>
                <w:rFonts w:ascii="Times New Roman"/>
                <w:sz w:val="28"/>
              </w:rPr>
            </w:pPr>
          </w:p>
        </w:tc>
        <w:tc>
          <w:tcPr>
            <w:tcW w:w="335" w:type="pct"/>
            <w:vMerge w:val="continue"/>
            <w:vAlign w:val="center"/>
          </w:tcPr>
          <w:p>
            <w:pPr>
              <w:pStyle w:val="11"/>
              <w:spacing w:before="122" w:line="360" w:lineRule="auto"/>
              <w:ind w:left="12"/>
              <w:jc w:val="center"/>
              <w:rPr>
                <w:sz w:val="28"/>
              </w:rPr>
            </w:pPr>
          </w:p>
        </w:tc>
        <w:tc>
          <w:tcPr>
            <w:tcW w:w="605" w:type="pct"/>
            <w:vAlign w:val="center"/>
          </w:tcPr>
          <w:p>
            <w:pPr>
              <w:pStyle w:val="11"/>
              <w:spacing w:before="134" w:line="360" w:lineRule="auto"/>
              <w:ind w:left="147" w:right="135"/>
              <w:jc w:val="center"/>
              <w:rPr>
                <w:sz w:val="28"/>
              </w:rPr>
            </w:pPr>
            <w:r>
              <w:rPr>
                <w:rFonts w:hint="eastAsia"/>
                <w:sz w:val="28"/>
              </w:rPr>
              <w:t>萃取</w:t>
            </w:r>
          </w:p>
          <w:p>
            <w:pPr>
              <w:pStyle w:val="11"/>
              <w:spacing w:before="134" w:line="360" w:lineRule="auto"/>
              <w:ind w:left="147" w:right="135"/>
              <w:jc w:val="center"/>
              <w:rPr>
                <w:sz w:val="28"/>
              </w:rPr>
            </w:pPr>
            <w:r>
              <w:rPr>
                <w:rFonts w:hint="eastAsia"/>
                <w:sz w:val="28"/>
              </w:rPr>
              <w:t>分离</w:t>
            </w:r>
          </w:p>
        </w:tc>
        <w:tc>
          <w:tcPr>
            <w:tcW w:w="3211" w:type="pct"/>
            <w:vAlign w:val="center"/>
          </w:tcPr>
          <w:p>
            <w:pPr>
              <w:pStyle w:val="11"/>
              <w:spacing w:before="134" w:line="360" w:lineRule="auto"/>
              <w:ind w:left="106"/>
              <w:jc w:val="center"/>
              <w:rPr>
                <w:sz w:val="28"/>
              </w:rPr>
            </w:pPr>
            <w:r>
              <w:rPr>
                <w:rFonts w:hint="eastAsia"/>
                <w:sz w:val="28"/>
              </w:rPr>
              <w:t>分液漏斗的使用</w:t>
            </w:r>
          </w:p>
        </w:tc>
        <w:tc>
          <w:tcPr>
            <w:tcW w:w="577" w:type="pct"/>
            <w:vAlign w:val="center"/>
          </w:tcPr>
          <w:p>
            <w:pPr>
              <w:pStyle w:val="11"/>
              <w:spacing w:before="150" w:line="360" w:lineRule="auto"/>
              <w:ind w:left="145" w:right="135"/>
              <w:jc w:val="center"/>
              <w:rPr>
                <w:rFonts w:ascii="Times New Roman"/>
                <w:sz w:val="28"/>
              </w:rPr>
            </w:pPr>
            <w:r>
              <w:rPr>
                <w:rFonts w:ascii="Times New Roman"/>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trPr>
        <w:tc>
          <w:tcPr>
            <w:tcW w:w="272" w:type="pct"/>
            <w:vMerge w:val="continue"/>
            <w:vAlign w:val="center"/>
          </w:tcPr>
          <w:p>
            <w:pPr>
              <w:pStyle w:val="11"/>
              <w:spacing w:line="360" w:lineRule="auto"/>
              <w:jc w:val="center"/>
              <w:rPr>
                <w:rFonts w:ascii="Times New Roman"/>
                <w:sz w:val="28"/>
              </w:rPr>
            </w:pPr>
          </w:p>
        </w:tc>
        <w:tc>
          <w:tcPr>
            <w:tcW w:w="940" w:type="pct"/>
            <w:gridSpan w:val="2"/>
            <w:vAlign w:val="center"/>
          </w:tcPr>
          <w:p>
            <w:pPr>
              <w:pStyle w:val="11"/>
              <w:tabs>
                <w:tab w:val="left" w:pos="873"/>
                <w:tab w:val="center" w:pos="1528"/>
              </w:tabs>
              <w:spacing w:line="360" w:lineRule="auto"/>
              <w:jc w:val="center"/>
              <w:rPr>
                <w:sz w:val="28"/>
              </w:rPr>
            </w:pPr>
            <w:r>
              <w:rPr>
                <w:rFonts w:hint="eastAsia"/>
                <w:sz w:val="28"/>
              </w:rPr>
              <w:t>上机测量</w:t>
            </w:r>
          </w:p>
        </w:tc>
        <w:tc>
          <w:tcPr>
            <w:tcW w:w="3211" w:type="pct"/>
            <w:vAlign w:val="center"/>
          </w:tcPr>
          <w:p>
            <w:pPr>
              <w:pStyle w:val="11"/>
              <w:spacing w:before="133" w:line="360" w:lineRule="auto"/>
              <w:ind w:left="106"/>
              <w:jc w:val="both"/>
              <w:rPr>
                <w:sz w:val="28"/>
              </w:rPr>
            </w:pPr>
            <w:r>
              <w:rPr>
                <w:rFonts w:hint="eastAsia"/>
                <w:sz w:val="28"/>
              </w:rPr>
              <w:t>单火焰原子吸收分光光度计的操作：包括开关气体和点火；软件操作、参数设置；标准溶液、样品溶液和空白溶液的进样；测量数据的正确读取。</w:t>
            </w:r>
          </w:p>
        </w:tc>
        <w:tc>
          <w:tcPr>
            <w:tcW w:w="577" w:type="pct"/>
            <w:vAlign w:val="center"/>
          </w:tcPr>
          <w:p>
            <w:pPr>
              <w:pStyle w:val="11"/>
              <w:spacing w:line="360" w:lineRule="auto"/>
              <w:ind w:left="145" w:right="135"/>
              <w:jc w:val="center"/>
              <w:rPr>
                <w:rFonts w:ascii="Times New Roman"/>
                <w:sz w:val="28"/>
              </w:rPr>
            </w:pPr>
            <w:r>
              <w:rPr>
                <w:rFonts w:ascii="Times New Roman"/>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6" w:hRule="atLeast"/>
        </w:trPr>
        <w:tc>
          <w:tcPr>
            <w:tcW w:w="272" w:type="pct"/>
            <w:vMerge w:val="continue"/>
            <w:vAlign w:val="center"/>
          </w:tcPr>
          <w:p>
            <w:pPr>
              <w:spacing w:line="360" w:lineRule="auto"/>
              <w:jc w:val="center"/>
              <w:rPr>
                <w:sz w:val="2"/>
                <w:szCs w:val="2"/>
              </w:rPr>
            </w:pPr>
          </w:p>
        </w:tc>
        <w:tc>
          <w:tcPr>
            <w:tcW w:w="940" w:type="pct"/>
            <w:gridSpan w:val="2"/>
            <w:vAlign w:val="center"/>
          </w:tcPr>
          <w:p>
            <w:pPr>
              <w:pStyle w:val="11"/>
              <w:spacing w:line="360" w:lineRule="auto"/>
              <w:jc w:val="center"/>
              <w:rPr>
                <w:sz w:val="28"/>
              </w:rPr>
            </w:pPr>
            <w:r>
              <w:rPr>
                <w:rFonts w:hint="eastAsia"/>
                <w:sz w:val="28"/>
              </w:rPr>
              <w:t>数据处理</w:t>
            </w:r>
          </w:p>
        </w:tc>
        <w:tc>
          <w:tcPr>
            <w:tcW w:w="3211" w:type="pct"/>
            <w:vAlign w:val="center"/>
          </w:tcPr>
          <w:p>
            <w:pPr>
              <w:pStyle w:val="11"/>
              <w:spacing w:line="360" w:lineRule="auto"/>
              <w:ind w:left="106"/>
              <w:jc w:val="both"/>
              <w:rPr>
                <w:sz w:val="28"/>
              </w:rPr>
            </w:pPr>
            <w:r>
              <w:rPr>
                <w:rFonts w:hint="eastAsia"/>
                <w:sz w:val="28"/>
              </w:rPr>
              <w:t>原始数据记录规范；标准曲线的制作；数据计算方法；数值修约原则；精密度；准确度。</w:t>
            </w:r>
          </w:p>
        </w:tc>
        <w:tc>
          <w:tcPr>
            <w:tcW w:w="577" w:type="pct"/>
            <w:vAlign w:val="center"/>
          </w:tcPr>
          <w:p>
            <w:pPr>
              <w:pStyle w:val="11"/>
              <w:spacing w:before="3" w:line="360" w:lineRule="auto"/>
              <w:ind w:left="145" w:right="135"/>
              <w:jc w:val="center"/>
              <w:rPr>
                <w:rFonts w:ascii="Times New Roman"/>
                <w:sz w:val="28"/>
              </w:rPr>
            </w:pPr>
            <w:r>
              <w:rPr>
                <w:rFonts w:ascii="Times New Roman"/>
                <w:sz w:val="28"/>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272" w:type="pct"/>
            <w:vMerge w:val="continue"/>
            <w:vAlign w:val="center"/>
          </w:tcPr>
          <w:p>
            <w:pPr>
              <w:spacing w:line="360" w:lineRule="auto"/>
              <w:jc w:val="center"/>
              <w:rPr>
                <w:sz w:val="2"/>
                <w:szCs w:val="2"/>
              </w:rPr>
            </w:pPr>
          </w:p>
        </w:tc>
        <w:tc>
          <w:tcPr>
            <w:tcW w:w="940" w:type="pct"/>
            <w:gridSpan w:val="2"/>
            <w:vAlign w:val="center"/>
          </w:tcPr>
          <w:p>
            <w:pPr>
              <w:pStyle w:val="11"/>
              <w:spacing w:line="360" w:lineRule="auto"/>
              <w:jc w:val="center"/>
              <w:rPr>
                <w:sz w:val="28"/>
              </w:rPr>
            </w:pPr>
            <w:r>
              <w:rPr>
                <w:rFonts w:hint="eastAsia"/>
                <w:sz w:val="28"/>
              </w:rPr>
              <w:t>规范与安全</w:t>
            </w:r>
          </w:p>
        </w:tc>
        <w:tc>
          <w:tcPr>
            <w:tcW w:w="3211" w:type="pct"/>
            <w:vAlign w:val="center"/>
          </w:tcPr>
          <w:p>
            <w:pPr>
              <w:pStyle w:val="11"/>
              <w:spacing w:line="360" w:lineRule="auto"/>
              <w:ind w:left="106" w:right="-58"/>
              <w:jc w:val="both"/>
              <w:rPr>
                <w:spacing w:val="-16"/>
                <w:sz w:val="28"/>
              </w:rPr>
            </w:pPr>
            <w:r>
              <w:rPr>
                <w:rFonts w:hint="eastAsia"/>
                <w:spacing w:val="-16"/>
                <w:sz w:val="28"/>
              </w:rPr>
              <w:t>着装规范；标识规范；文明操作规范；</w:t>
            </w:r>
            <w:r>
              <w:rPr>
                <w:rFonts w:hint="eastAsia"/>
                <w:sz w:val="28"/>
              </w:rPr>
              <w:t>安全操作规范</w:t>
            </w:r>
          </w:p>
        </w:tc>
        <w:tc>
          <w:tcPr>
            <w:tcW w:w="577" w:type="pct"/>
            <w:vAlign w:val="center"/>
          </w:tcPr>
          <w:p>
            <w:pPr>
              <w:pStyle w:val="11"/>
              <w:spacing w:line="360" w:lineRule="auto"/>
              <w:ind w:left="145" w:right="135"/>
              <w:jc w:val="center"/>
              <w:rPr>
                <w:rFonts w:ascii="Times New Roman"/>
                <w:sz w:val="28"/>
              </w:rPr>
            </w:pPr>
            <w:r>
              <w:rPr>
                <w:rFonts w:ascii="Times New Roman"/>
                <w:sz w:val="28"/>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89" w:hRule="atLeast"/>
        </w:trPr>
        <w:tc>
          <w:tcPr>
            <w:tcW w:w="272" w:type="pct"/>
            <w:vMerge w:val="continue"/>
            <w:vAlign w:val="center"/>
          </w:tcPr>
          <w:p>
            <w:pPr>
              <w:pStyle w:val="11"/>
              <w:spacing w:line="360" w:lineRule="auto"/>
              <w:jc w:val="center"/>
              <w:rPr>
                <w:rFonts w:ascii="Times New Roman"/>
                <w:sz w:val="28"/>
              </w:rPr>
            </w:pPr>
          </w:p>
        </w:tc>
        <w:tc>
          <w:tcPr>
            <w:tcW w:w="940" w:type="pct"/>
            <w:gridSpan w:val="2"/>
            <w:vAlign w:val="center"/>
          </w:tcPr>
          <w:p>
            <w:pPr>
              <w:pStyle w:val="11"/>
              <w:spacing w:before="137" w:line="360" w:lineRule="auto"/>
              <w:jc w:val="center"/>
              <w:rPr>
                <w:sz w:val="28"/>
              </w:rPr>
            </w:pPr>
            <w:r>
              <w:rPr>
                <w:rFonts w:hint="eastAsia"/>
                <w:sz w:val="28"/>
              </w:rPr>
              <w:t>基础理论测试</w:t>
            </w:r>
          </w:p>
        </w:tc>
        <w:tc>
          <w:tcPr>
            <w:tcW w:w="3211" w:type="pct"/>
            <w:vAlign w:val="center"/>
          </w:tcPr>
          <w:p>
            <w:pPr>
              <w:pStyle w:val="11"/>
              <w:spacing w:before="132" w:line="360" w:lineRule="auto"/>
              <w:ind w:left="106"/>
              <w:jc w:val="both"/>
              <w:rPr>
                <w:sz w:val="28"/>
              </w:rPr>
            </w:pPr>
            <w:r>
              <w:rPr>
                <w:rFonts w:hint="eastAsia"/>
                <w:sz w:val="28"/>
              </w:rPr>
              <w:t>农产品质量安全检测基础理论、仪器分析（气相色谱、原子吸收分光光度计等）、样品前处理、数据分析、实验室安全等相关知识。</w:t>
            </w:r>
          </w:p>
        </w:tc>
        <w:tc>
          <w:tcPr>
            <w:tcW w:w="577" w:type="pct"/>
            <w:vAlign w:val="center"/>
          </w:tcPr>
          <w:p>
            <w:pPr>
              <w:pStyle w:val="11"/>
              <w:spacing w:before="156" w:line="360" w:lineRule="auto"/>
              <w:ind w:left="145" w:right="135"/>
              <w:jc w:val="center"/>
              <w:rPr>
                <w:rFonts w:ascii="Times New Roman"/>
                <w:sz w:val="28"/>
              </w:rPr>
            </w:pPr>
            <w:r>
              <w:rPr>
                <w:rFonts w:ascii="Times New Roman"/>
                <w:sz w:val="2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72" w:type="pct"/>
            <w:vAlign w:val="center"/>
          </w:tcPr>
          <w:p>
            <w:pPr>
              <w:pStyle w:val="11"/>
              <w:spacing w:line="360" w:lineRule="auto"/>
              <w:jc w:val="center"/>
              <w:rPr>
                <w:rFonts w:ascii="Times New Roman"/>
                <w:sz w:val="28"/>
              </w:rPr>
            </w:pPr>
          </w:p>
        </w:tc>
        <w:tc>
          <w:tcPr>
            <w:tcW w:w="4151" w:type="pct"/>
            <w:gridSpan w:val="3"/>
            <w:vAlign w:val="center"/>
          </w:tcPr>
          <w:p>
            <w:pPr>
              <w:pStyle w:val="11"/>
              <w:spacing w:before="134" w:line="360" w:lineRule="auto"/>
              <w:ind w:left="3193" w:right="3185"/>
              <w:jc w:val="center"/>
              <w:rPr>
                <w:sz w:val="28"/>
              </w:rPr>
            </w:pPr>
            <w:r>
              <w:rPr>
                <w:rFonts w:hint="eastAsia"/>
                <w:sz w:val="28"/>
              </w:rPr>
              <w:t>合计</w:t>
            </w:r>
          </w:p>
        </w:tc>
        <w:tc>
          <w:tcPr>
            <w:tcW w:w="577" w:type="pct"/>
            <w:vAlign w:val="center"/>
          </w:tcPr>
          <w:p>
            <w:pPr>
              <w:pStyle w:val="11"/>
              <w:spacing w:before="150" w:line="360" w:lineRule="auto"/>
              <w:ind w:left="145" w:right="135"/>
              <w:jc w:val="center"/>
              <w:rPr>
                <w:rFonts w:ascii="Times New Roman"/>
                <w:sz w:val="28"/>
              </w:rPr>
            </w:pPr>
            <w:r>
              <w:rPr>
                <w:rFonts w:ascii="Times New Roman"/>
                <w:sz w:val="28"/>
              </w:rPr>
              <w:t>120</w:t>
            </w:r>
          </w:p>
        </w:tc>
      </w:tr>
    </w:tbl>
    <w:p>
      <w:pPr>
        <w:pStyle w:val="3"/>
        <w:spacing w:line="360" w:lineRule="auto"/>
        <w:ind w:left="0" w:firstLine="549" w:firstLineChars="196"/>
      </w:pPr>
      <w:r>
        <w:rPr>
          <w:rFonts w:hint="eastAsia"/>
        </w:rPr>
        <w:t>（二）</w:t>
      </w:r>
      <w:r>
        <w:rPr>
          <w:rFonts w:hint="eastAsia" w:eastAsia="宋体"/>
        </w:rPr>
        <w:t>评分</w:t>
      </w:r>
      <w:r>
        <w:rPr>
          <w:rFonts w:hint="eastAsia"/>
        </w:rPr>
        <w:t>方法</w:t>
      </w:r>
    </w:p>
    <w:p>
      <w:pPr>
        <w:pStyle w:val="4"/>
        <w:spacing w:before="120" w:line="360" w:lineRule="auto"/>
        <w:ind w:left="0" w:right="256"/>
      </w:pPr>
      <w:r>
        <w:t xml:space="preserve">    </w:t>
      </w:r>
      <w:r>
        <w:rPr>
          <w:rFonts w:hint="eastAsia"/>
        </w:rPr>
        <w:t>竞赛评分严格按照公平、公正、公开的原则。本次竞赛成绩按照百分制计分。</w:t>
      </w:r>
    </w:p>
    <w:p>
      <w:pPr>
        <w:pStyle w:val="4"/>
        <w:spacing w:line="360" w:lineRule="auto"/>
        <w:ind w:left="0" w:right="114"/>
      </w:pPr>
      <w:r>
        <w:t xml:space="preserve">    </w:t>
      </w:r>
      <w:r>
        <w:rPr>
          <w:rFonts w:hint="eastAsia"/>
        </w:rPr>
        <w:t>竞赛过程中，参赛选手如有不服从裁判判决、扰乱赛场秩序、舞弊等</w:t>
      </w:r>
      <w:r>
        <w:rPr>
          <w:rFonts w:hint="eastAsia"/>
          <w:spacing w:val="-6"/>
        </w:rPr>
        <w:t>不文明行为，由裁判长按照规定扣减相应分数，情节严重的取消竞赛资格，</w:t>
      </w:r>
      <w:r>
        <w:rPr>
          <w:spacing w:val="-6"/>
        </w:rPr>
        <w:t xml:space="preserve"> </w:t>
      </w:r>
      <w:r>
        <w:rPr>
          <w:rFonts w:hint="eastAsia"/>
          <w:spacing w:val="-15"/>
        </w:rPr>
        <w:t>竞赛成绩记</w:t>
      </w:r>
      <w:r>
        <w:rPr>
          <w:spacing w:val="-15"/>
        </w:rPr>
        <w:t xml:space="preserve"> </w:t>
      </w:r>
      <w:r>
        <w:rPr>
          <w:rFonts w:ascii="Times New Roman" w:eastAsia="Times New Roman"/>
        </w:rPr>
        <w:t>0</w:t>
      </w:r>
      <w:r>
        <w:rPr>
          <w:rFonts w:hint="eastAsia"/>
        </w:rPr>
        <w:t>分。</w:t>
      </w:r>
    </w:p>
    <w:p>
      <w:pPr>
        <w:tabs>
          <w:tab w:val="left" w:pos="991"/>
        </w:tabs>
        <w:spacing w:line="360" w:lineRule="auto"/>
        <w:rPr>
          <w:sz w:val="28"/>
        </w:rPr>
      </w:pPr>
      <w:r>
        <w:rPr>
          <w:spacing w:val="-3"/>
          <w:sz w:val="28"/>
        </w:rPr>
        <w:t xml:space="preserve">    1.</w:t>
      </w:r>
      <w:r>
        <w:rPr>
          <w:rFonts w:hint="eastAsia"/>
          <w:spacing w:val="-3"/>
          <w:sz w:val="28"/>
        </w:rPr>
        <w:t>农药残检测项目</w:t>
      </w:r>
    </w:p>
    <w:p>
      <w:pPr>
        <w:pStyle w:val="4"/>
        <w:spacing w:before="185" w:line="360" w:lineRule="auto"/>
        <w:ind w:left="0"/>
        <w:jc w:val="both"/>
      </w:pPr>
      <w:r>
        <w:t xml:space="preserve">    </w:t>
      </w:r>
      <w:r>
        <w:rPr>
          <w:rFonts w:hint="eastAsia"/>
        </w:rPr>
        <w:t>样品前处理技能操作评分：每位参赛选手将由</w:t>
      </w:r>
      <w:r>
        <w:t>3</w:t>
      </w:r>
      <w:r>
        <w:rPr>
          <w:rFonts w:hint="eastAsia"/>
        </w:rPr>
        <w:t>名裁判员同时给出分数，最终按裁判给出分数的平均分计算出选手的现场操作竞赛成绩；前处理技能操作竞赛环节打分结束，评分表裁判签字后交于裁判组长；操作比赛结束，</w:t>
      </w:r>
      <w:r>
        <w:t xml:space="preserve"> </w:t>
      </w:r>
      <w:r>
        <w:rPr>
          <w:rFonts w:hint="eastAsia"/>
        </w:rPr>
        <w:t>裁判组长负责将本场次所有选手的评分表、答卷分别封装在不同的档案袋</w:t>
      </w:r>
      <w:r>
        <w:rPr>
          <w:rFonts w:hint="eastAsia"/>
          <w:spacing w:val="-3"/>
        </w:rPr>
        <w:t>中，贴上封条。</w:t>
      </w:r>
    </w:p>
    <w:p>
      <w:pPr>
        <w:pStyle w:val="4"/>
        <w:spacing w:line="360" w:lineRule="auto"/>
        <w:ind w:left="0" w:right="257"/>
      </w:pPr>
      <w:r>
        <w:t xml:space="preserve">    </w:t>
      </w:r>
      <w:r>
        <w:rPr>
          <w:rFonts w:hint="eastAsia"/>
        </w:rPr>
        <w:t>离线气相三维虚拟仿真操作考核环节评分：由裁判进行现场监考；考核结束后，由裁判进行阅卷，登录分数。</w:t>
      </w:r>
    </w:p>
    <w:p>
      <w:pPr>
        <w:pStyle w:val="4"/>
        <w:spacing w:line="360" w:lineRule="auto"/>
        <w:ind w:left="0" w:right="256"/>
      </w:pPr>
      <w:r>
        <w:t xml:space="preserve">    </w:t>
      </w:r>
      <w:r>
        <w:rPr>
          <w:rFonts w:hint="eastAsia"/>
        </w:rPr>
        <w:t>数据处理评分：由裁判将试卷拆封并发至各选手完成数据处理；考核结束后，由裁判进行阅卷，登录分数。</w:t>
      </w:r>
    </w:p>
    <w:p>
      <w:pPr>
        <w:tabs>
          <w:tab w:val="left" w:pos="991"/>
        </w:tabs>
        <w:spacing w:line="360" w:lineRule="auto"/>
        <w:rPr>
          <w:sz w:val="28"/>
          <w:szCs w:val="28"/>
        </w:rPr>
      </w:pPr>
      <w:r>
        <w:rPr>
          <w:sz w:val="28"/>
          <w:szCs w:val="28"/>
        </w:rPr>
        <w:t xml:space="preserve">    2.</w:t>
      </w:r>
      <w:r>
        <w:rPr>
          <w:rFonts w:hint="eastAsia"/>
          <w:sz w:val="28"/>
          <w:szCs w:val="28"/>
        </w:rPr>
        <w:t>重金属污染物检测项目</w:t>
      </w:r>
    </w:p>
    <w:p>
      <w:pPr>
        <w:pStyle w:val="4"/>
        <w:spacing w:line="360" w:lineRule="auto"/>
        <w:ind w:left="0" w:right="253"/>
        <w:jc w:val="both"/>
      </w:pPr>
      <w:r>
        <w:t xml:space="preserve">    </w:t>
      </w:r>
      <w:r>
        <w:rPr>
          <w:rFonts w:hint="eastAsia"/>
        </w:rPr>
        <w:t>样品预处理技能操作评分：每位参赛选手由</w:t>
      </w:r>
      <w:r>
        <w:t>2</w:t>
      </w:r>
      <w:r>
        <w:rPr>
          <w:rFonts w:hint="eastAsia"/>
        </w:rPr>
        <w:t>名裁判员同时给出分数，最终按平均分计算现场操作分数。预处理技能操作竞赛环节打分结束，评分表裁判签字后交于裁判组长。裁判组长负责将本场次所有选手的评分表、答卷分别封装在不同的档案袋中，贴上封条。</w:t>
      </w:r>
    </w:p>
    <w:p>
      <w:pPr>
        <w:pStyle w:val="4"/>
        <w:spacing w:line="360" w:lineRule="auto"/>
        <w:ind w:left="0" w:right="253"/>
        <w:jc w:val="both"/>
      </w:pPr>
      <w:r>
        <w:t xml:space="preserve">    </w:t>
      </w:r>
      <w:r>
        <w:rPr>
          <w:rFonts w:hint="eastAsia"/>
        </w:rPr>
        <w:t>上机测量操作评分：上机环节，每位参赛选手由</w:t>
      </w:r>
      <w:r>
        <w:t>2</w:t>
      </w:r>
      <w:r>
        <w:rPr>
          <w:rFonts w:hint="eastAsia"/>
        </w:rPr>
        <w:t>名裁判员同时给出分数，同时给出分数的平均分计算上机操作分数。上机测量操作竞赛环节打分结束，评分表裁判签字后交于裁判组长。裁判组长负责将本场次所有选手的评分表、答卷分别封装在不同的档案袋中，贴上封条。</w:t>
      </w:r>
    </w:p>
    <w:p>
      <w:pPr>
        <w:pStyle w:val="4"/>
        <w:spacing w:line="360" w:lineRule="auto"/>
        <w:ind w:left="0" w:right="256"/>
      </w:pPr>
      <w:r>
        <w:t xml:space="preserve">    </w:t>
      </w:r>
      <w:r>
        <w:rPr>
          <w:rFonts w:hint="eastAsia"/>
        </w:rPr>
        <w:t>数据处理评分：由裁判将试卷拆封并发至各选手完成数据处理；考核结束后，由裁判进行阅卷，登录分数。</w:t>
      </w:r>
    </w:p>
    <w:p>
      <w:pPr>
        <w:pStyle w:val="4"/>
        <w:spacing w:line="360" w:lineRule="auto"/>
        <w:ind w:left="0" w:right="255"/>
      </w:pPr>
      <w:r>
        <w:t xml:space="preserve">    </w:t>
      </w:r>
      <w:r>
        <w:rPr>
          <w:rFonts w:hint="eastAsia"/>
        </w:rPr>
        <w:t>记分员将各参赛队伍成绩汇总成最终成绩单，经裁判长、监督仲裁组组签字后进行公示。</w:t>
      </w:r>
    </w:p>
    <w:p>
      <w:pPr>
        <w:pStyle w:val="2"/>
        <w:spacing w:before="22" w:line="360" w:lineRule="auto"/>
        <w:rPr>
          <w:rFonts w:eastAsia="宋体"/>
        </w:rPr>
      </w:pPr>
      <w:r>
        <w:rPr>
          <w:rFonts w:hint="eastAsia" w:eastAsia="宋体"/>
        </w:rPr>
        <w:t>十</w:t>
      </w:r>
      <w:r>
        <w:rPr>
          <w:rFonts w:hint="eastAsia"/>
        </w:rPr>
        <w:t>、</w:t>
      </w:r>
      <w:r>
        <w:rPr>
          <w:rFonts w:hint="eastAsia" w:eastAsia="宋体"/>
        </w:rPr>
        <w:t>奖项设定</w:t>
      </w:r>
    </w:p>
    <w:p>
      <w:pPr>
        <w:pStyle w:val="4"/>
        <w:spacing w:before="62" w:line="360" w:lineRule="auto"/>
        <w:ind w:left="0" w:right="255" w:firstLine="560" w:firstLineChars="200"/>
        <w:jc w:val="both"/>
      </w:pPr>
      <w:r>
        <w:rPr>
          <w:rFonts w:hint="eastAsia"/>
        </w:rPr>
        <w:t>本竞赛为团体赛。每个参赛队由</w:t>
      </w:r>
      <w:r>
        <w:t xml:space="preserve"> </w:t>
      </w:r>
      <w:r>
        <w:rPr>
          <w:rFonts w:ascii="Calibri" w:eastAsia="Times New Roman"/>
        </w:rPr>
        <w:t xml:space="preserve">2 </w:t>
      </w:r>
      <w:r>
        <w:rPr>
          <w:rFonts w:hint="eastAsia"/>
        </w:rPr>
        <w:t>名参赛选手组成，其中一位选手</w:t>
      </w:r>
      <w:r>
        <w:rPr>
          <w:rFonts w:hint="eastAsia"/>
          <w:spacing w:val="-2"/>
        </w:rPr>
        <w:t>参加</w:t>
      </w:r>
      <w:r>
        <w:rPr>
          <w:rFonts w:ascii="Calibri" w:hAnsi="Calibri"/>
        </w:rPr>
        <w:t>“</w:t>
      </w:r>
      <w:r>
        <w:rPr>
          <w:rFonts w:hint="eastAsia"/>
          <w:spacing w:val="-3"/>
        </w:rPr>
        <w:t>蔬菜中有机磷类农药残留的检测</w:t>
      </w:r>
      <w:r>
        <w:rPr>
          <w:rFonts w:ascii="Calibri" w:hAnsi="Calibri"/>
        </w:rPr>
        <w:t>”</w:t>
      </w:r>
      <w:r>
        <w:rPr>
          <w:rFonts w:hint="eastAsia"/>
          <w:spacing w:val="-3"/>
        </w:rPr>
        <w:t>项目竞赛，另一位选手参加</w:t>
      </w:r>
      <w:r>
        <w:rPr>
          <w:rFonts w:ascii="Calibri" w:hAnsi="Calibri"/>
        </w:rPr>
        <w:t>“</w:t>
      </w:r>
      <w:r>
        <w:rPr>
          <w:rFonts w:hint="eastAsia"/>
          <w:spacing w:val="-2"/>
        </w:rPr>
        <w:t>茶叶中</w:t>
      </w:r>
      <w:r>
        <w:rPr>
          <w:rFonts w:hint="eastAsia"/>
          <w:spacing w:val="-3"/>
        </w:rPr>
        <w:t>重金属铅含量的检测</w:t>
      </w:r>
      <w:r>
        <w:rPr>
          <w:rFonts w:ascii="Calibri" w:hAnsi="Calibri"/>
        </w:rPr>
        <w:t>”</w:t>
      </w:r>
      <w:r>
        <w:rPr>
          <w:rFonts w:hint="eastAsia"/>
          <w:spacing w:val="-4"/>
        </w:rPr>
        <w:t>项目竞赛，每个项目</w:t>
      </w:r>
      <w:r>
        <w:rPr>
          <w:rFonts w:hint="eastAsia"/>
        </w:rPr>
        <w:t>（</w:t>
      </w:r>
      <w:r>
        <w:rPr>
          <w:rFonts w:hint="eastAsia"/>
          <w:spacing w:val="-2"/>
        </w:rPr>
        <w:t>模块</w:t>
      </w:r>
      <w:r>
        <w:rPr>
          <w:rFonts w:hint="eastAsia"/>
          <w:spacing w:val="-3"/>
        </w:rPr>
        <w:t>）竞赛成绩按照百分制独立计分，参赛队最终成绩由二个模块分数相加总分排序决定。</w:t>
      </w:r>
    </w:p>
    <w:p>
      <w:pPr>
        <w:pStyle w:val="4"/>
        <w:spacing w:before="1" w:line="360" w:lineRule="auto"/>
        <w:ind w:left="0" w:right="303"/>
      </w:pPr>
      <w:r>
        <w:t xml:space="preserve">    </w:t>
      </w:r>
      <w:r>
        <w:rPr>
          <w:rFonts w:hint="eastAsia"/>
        </w:rPr>
        <w:t>按照《全国职业院校技能大赛奖惩办法》的有关规定，赛项分设一等奖、二等奖、三等奖，获奖比例分别为实际参赛队的</w:t>
      </w:r>
      <w:r>
        <w:t xml:space="preserve"> </w:t>
      </w:r>
      <w:r>
        <w:rPr>
          <w:rFonts w:ascii="Calibri" w:eastAsia="Times New Roman"/>
        </w:rPr>
        <w:t>10%</w:t>
      </w:r>
      <w:r>
        <w:rPr>
          <w:rFonts w:hint="eastAsia"/>
        </w:rPr>
        <w:t>、</w:t>
      </w:r>
      <w:r>
        <w:rPr>
          <w:rFonts w:ascii="Calibri" w:eastAsia="Times New Roman"/>
        </w:rPr>
        <w:t>20%</w:t>
      </w:r>
      <w:r>
        <w:rPr>
          <w:rFonts w:hint="eastAsia"/>
        </w:rPr>
        <w:t>和</w:t>
      </w:r>
      <w:r>
        <w:t xml:space="preserve"> </w:t>
      </w:r>
      <w:r>
        <w:rPr>
          <w:rFonts w:ascii="Calibri" w:eastAsia="Times New Roman"/>
        </w:rPr>
        <w:t>30%</w:t>
      </w:r>
      <w:r>
        <w:rPr>
          <w:rFonts w:hint="eastAsia"/>
        </w:rPr>
        <w:t>。</w:t>
      </w:r>
    </w:p>
    <w:p>
      <w:pPr>
        <w:pStyle w:val="4"/>
        <w:spacing w:line="360" w:lineRule="auto"/>
        <w:ind w:left="0"/>
      </w:pPr>
      <w:r>
        <w:t xml:space="preserve">    </w:t>
      </w:r>
      <w:r>
        <w:rPr>
          <w:rFonts w:hint="eastAsia"/>
        </w:rPr>
        <w:t>获得一等奖的参赛队的指导教师由组委会颁发优秀指导教师证书。</w:t>
      </w:r>
    </w:p>
    <w:p>
      <w:pPr>
        <w:pStyle w:val="2"/>
        <w:spacing w:line="360" w:lineRule="auto"/>
        <w:ind w:left="0"/>
        <w:rPr>
          <w:rFonts w:eastAsia="宋体"/>
        </w:rPr>
      </w:pPr>
      <w:r>
        <w:rPr>
          <w:rFonts w:hint="eastAsia" w:eastAsia="宋体"/>
        </w:rPr>
        <w:t>十一</w:t>
      </w:r>
      <w:r>
        <w:rPr>
          <w:rFonts w:hint="eastAsia"/>
        </w:rPr>
        <w:t>、</w:t>
      </w:r>
      <w:r>
        <w:rPr>
          <w:rFonts w:hint="eastAsia" w:eastAsia="宋体"/>
        </w:rPr>
        <w:t>赛场预案</w:t>
      </w:r>
    </w:p>
    <w:p>
      <w:pPr>
        <w:pStyle w:val="4"/>
        <w:spacing w:line="360" w:lineRule="auto"/>
        <w:ind w:left="0"/>
      </w:pPr>
      <w:r>
        <w:t xml:space="preserve">    </w:t>
      </w:r>
      <w:r>
        <w:rPr>
          <w:rFonts w:hint="eastAsia"/>
        </w:rPr>
        <w:t>为确保全国职业院校技能大赛农产品质量安全检测赛项安全顺利进行，</w:t>
      </w:r>
      <w:r>
        <w:t xml:space="preserve"> </w:t>
      </w:r>
      <w:r>
        <w:rPr>
          <w:rFonts w:hint="eastAsia"/>
        </w:rPr>
        <w:t>保障各地参赛队师生的人身安全，及时有效的处理大赛期间突发安全事故，</w:t>
      </w:r>
      <w:r>
        <w:t xml:space="preserve"> </w:t>
      </w:r>
      <w:r>
        <w:rPr>
          <w:rFonts w:hint="eastAsia"/>
        </w:rPr>
        <w:t>保证大赛安全有序的进行，特制定以下方案及突发安全事故应急预案。</w:t>
      </w:r>
    </w:p>
    <w:p>
      <w:pPr>
        <w:tabs>
          <w:tab w:val="left" w:pos="1008"/>
        </w:tabs>
        <w:spacing w:line="360" w:lineRule="auto"/>
        <w:ind w:right="253"/>
        <w:rPr>
          <w:sz w:val="28"/>
        </w:rPr>
      </w:pPr>
      <w:r>
        <w:rPr>
          <w:spacing w:val="-13"/>
          <w:sz w:val="28"/>
        </w:rPr>
        <w:t xml:space="preserve">    1.</w:t>
      </w:r>
      <w:r>
        <w:rPr>
          <w:rFonts w:hint="eastAsia"/>
          <w:spacing w:val="-13"/>
          <w:sz w:val="28"/>
        </w:rPr>
        <w:t>严格按照《高等学校实验室安全管理办法》的有关规定准备和开展赛</w:t>
      </w:r>
      <w:r>
        <w:rPr>
          <w:rFonts w:hint="eastAsia"/>
          <w:spacing w:val="-5"/>
          <w:sz w:val="28"/>
        </w:rPr>
        <w:t>项的竞赛活动。</w:t>
      </w:r>
    </w:p>
    <w:p>
      <w:pPr>
        <w:tabs>
          <w:tab w:val="left" w:pos="1008"/>
        </w:tabs>
        <w:spacing w:line="360" w:lineRule="auto"/>
        <w:ind w:right="253" w:firstLine="480"/>
        <w:rPr>
          <w:sz w:val="28"/>
        </w:rPr>
      </w:pPr>
      <w:r>
        <w:rPr>
          <w:spacing w:val="-11"/>
          <w:sz w:val="28"/>
        </w:rPr>
        <w:t>2.</w:t>
      </w:r>
      <w:r>
        <w:rPr>
          <w:rFonts w:hint="eastAsia"/>
          <w:spacing w:val="-11"/>
          <w:sz w:val="28"/>
        </w:rPr>
        <w:t>成立竞赛安全工作组，分设安全用电、用气、防火等安保人员，对赛</w:t>
      </w:r>
      <w:r>
        <w:rPr>
          <w:rFonts w:hint="eastAsia"/>
          <w:spacing w:val="-5"/>
          <w:sz w:val="28"/>
        </w:rPr>
        <w:t>场内所有设施设备进行安全检查，排除各种安全隐患。</w:t>
      </w:r>
    </w:p>
    <w:p>
      <w:pPr>
        <w:tabs>
          <w:tab w:val="left" w:pos="1008"/>
        </w:tabs>
        <w:spacing w:line="360" w:lineRule="auto"/>
        <w:ind w:right="253" w:firstLine="480"/>
        <w:rPr>
          <w:sz w:val="28"/>
        </w:rPr>
      </w:pPr>
      <w:r>
        <w:rPr>
          <w:sz w:val="28"/>
        </w:rPr>
        <w:t>3.</w:t>
      </w:r>
      <w:r>
        <w:rPr>
          <w:rFonts w:hint="eastAsia"/>
          <w:spacing w:val="-11"/>
          <w:sz w:val="28"/>
        </w:rPr>
        <w:t>对竞赛中可能出现的伤害事故，做好相应的应急准备，备好急救药品</w:t>
      </w:r>
      <w:r>
        <w:rPr>
          <w:rFonts w:hint="eastAsia"/>
          <w:spacing w:val="-5"/>
          <w:sz w:val="28"/>
        </w:rPr>
        <w:t>及车辆，确保及时实施救助。</w:t>
      </w:r>
    </w:p>
    <w:p>
      <w:pPr>
        <w:tabs>
          <w:tab w:val="left" w:pos="1008"/>
        </w:tabs>
        <w:spacing w:line="360" w:lineRule="auto"/>
        <w:ind w:right="253"/>
        <w:rPr>
          <w:sz w:val="28"/>
        </w:rPr>
      </w:pPr>
      <w:r>
        <w:rPr>
          <w:spacing w:val="-13"/>
          <w:sz w:val="28"/>
        </w:rPr>
        <w:t xml:space="preserve">    4.</w:t>
      </w:r>
      <w:r>
        <w:rPr>
          <w:rFonts w:hint="eastAsia"/>
          <w:spacing w:val="-13"/>
          <w:sz w:val="28"/>
        </w:rPr>
        <w:t>制定赛场指示图，竞赛期间遇有突发或紧急情况，有关人员按赛场疏</w:t>
      </w:r>
      <w:r>
        <w:rPr>
          <w:rFonts w:hint="eastAsia"/>
          <w:spacing w:val="-5"/>
          <w:sz w:val="28"/>
        </w:rPr>
        <w:t>散图指标指示，有指定专人指引、带领及时做好疏散。</w:t>
      </w:r>
    </w:p>
    <w:p>
      <w:pPr>
        <w:tabs>
          <w:tab w:val="left" w:pos="1008"/>
        </w:tabs>
        <w:spacing w:line="360" w:lineRule="auto"/>
        <w:rPr>
          <w:sz w:val="28"/>
        </w:rPr>
      </w:pPr>
      <w:r>
        <w:rPr>
          <w:spacing w:val="-3"/>
          <w:sz w:val="28"/>
        </w:rPr>
        <w:t xml:space="preserve">    5.</w:t>
      </w:r>
      <w:r>
        <w:rPr>
          <w:rFonts w:hint="eastAsia"/>
          <w:spacing w:val="-3"/>
          <w:sz w:val="28"/>
        </w:rPr>
        <w:t>针对各个赛项的安全隐患，特做如下应急预案：</w:t>
      </w:r>
    </w:p>
    <w:p>
      <w:pPr>
        <w:tabs>
          <w:tab w:val="left" w:pos="1008"/>
        </w:tabs>
        <w:spacing w:line="360" w:lineRule="auto"/>
        <w:rPr>
          <w:sz w:val="28"/>
        </w:rPr>
      </w:pPr>
      <w:r>
        <w:rPr>
          <w:spacing w:val="-3"/>
          <w:sz w:val="28"/>
        </w:rPr>
        <w:t xml:space="preserve">    </w:t>
      </w:r>
      <w:r>
        <w:rPr>
          <w:rFonts w:hint="eastAsia"/>
          <w:spacing w:val="-3"/>
          <w:sz w:val="28"/>
        </w:rPr>
        <w:t>（</w:t>
      </w:r>
      <w:r>
        <w:rPr>
          <w:spacing w:val="-3"/>
          <w:sz w:val="28"/>
        </w:rPr>
        <w:t>1</w:t>
      </w:r>
      <w:r>
        <w:rPr>
          <w:rFonts w:hint="eastAsia"/>
          <w:spacing w:val="-3"/>
          <w:sz w:val="28"/>
        </w:rPr>
        <w:t>）加强赛场安保，与比赛无关人员禁止进入竞赛场地；</w:t>
      </w:r>
    </w:p>
    <w:p>
      <w:pPr>
        <w:tabs>
          <w:tab w:val="left" w:pos="1008"/>
        </w:tabs>
        <w:spacing w:line="360" w:lineRule="auto"/>
        <w:ind w:firstLine="520"/>
        <w:rPr>
          <w:sz w:val="28"/>
        </w:rPr>
      </w:pPr>
      <w:r>
        <w:rPr>
          <w:rFonts w:hint="eastAsia"/>
          <w:spacing w:val="-6"/>
          <w:sz w:val="28"/>
        </w:rPr>
        <w:t>（</w:t>
      </w:r>
      <w:r>
        <w:rPr>
          <w:spacing w:val="-6"/>
          <w:sz w:val="28"/>
        </w:rPr>
        <w:t>2</w:t>
      </w:r>
      <w:r>
        <w:rPr>
          <w:rFonts w:hint="eastAsia"/>
          <w:spacing w:val="-6"/>
          <w:sz w:val="28"/>
        </w:rPr>
        <w:t>）用到易燃试剂或气体的比赛场地加配灭火器材，并配备足够的安全员；</w:t>
      </w:r>
    </w:p>
    <w:p>
      <w:pPr>
        <w:tabs>
          <w:tab w:val="left" w:pos="1008"/>
        </w:tabs>
        <w:spacing w:line="360" w:lineRule="auto"/>
        <w:ind w:firstLine="520"/>
        <w:rPr>
          <w:sz w:val="28"/>
        </w:rPr>
      </w:pPr>
      <w:r>
        <w:rPr>
          <w:rFonts w:hint="eastAsia"/>
          <w:sz w:val="28"/>
          <w:szCs w:val="28"/>
        </w:rPr>
        <w:t>（</w:t>
      </w:r>
      <w:r>
        <w:rPr>
          <w:sz w:val="28"/>
          <w:szCs w:val="28"/>
        </w:rPr>
        <w:t>3</w:t>
      </w:r>
      <w:r>
        <w:rPr>
          <w:rFonts w:hint="eastAsia"/>
          <w:sz w:val="28"/>
          <w:szCs w:val="28"/>
        </w:rPr>
        <w:t>）重金属污染检测项目上机检测单元要用到乙焕钢瓶，配置钢瓶气瓶柜并由专门的志愿者管理，确保气瓶安全使用。另外原子吸收分光光度计安装要符合安全的要求；</w:t>
      </w:r>
    </w:p>
    <w:p>
      <w:pPr>
        <w:tabs>
          <w:tab w:val="left" w:pos="1217"/>
        </w:tabs>
        <w:spacing w:line="360" w:lineRule="auto"/>
        <w:ind w:right="253"/>
        <w:rPr>
          <w:sz w:val="28"/>
        </w:rPr>
      </w:pPr>
      <w:r>
        <w:rPr>
          <w:spacing w:val="-6"/>
          <w:sz w:val="28"/>
        </w:rPr>
        <w:t xml:space="preserve">    </w:t>
      </w:r>
      <w:r>
        <w:rPr>
          <w:rFonts w:hint="eastAsia"/>
          <w:spacing w:val="-6"/>
          <w:sz w:val="28"/>
        </w:rPr>
        <w:t>（</w:t>
      </w:r>
      <w:r>
        <w:rPr>
          <w:spacing w:val="-6"/>
          <w:sz w:val="28"/>
        </w:rPr>
        <w:t>4</w:t>
      </w:r>
      <w:r>
        <w:rPr>
          <w:rFonts w:hint="eastAsia"/>
          <w:spacing w:val="-6"/>
          <w:sz w:val="28"/>
        </w:rPr>
        <w:t>）若因选手因素造成设备故障或损坏，无法进行比赛，裁判长有权终</w:t>
      </w:r>
      <w:r>
        <w:rPr>
          <w:rFonts w:hint="eastAsia"/>
          <w:spacing w:val="-4"/>
          <w:sz w:val="28"/>
        </w:rPr>
        <w:t>止该队比赛；若因非选手个人因素造成设备故障的，由裁判长视具体情况</w:t>
      </w:r>
      <w:r>
        <w:rPr>
          <w:rFonts w:hint="eastAsia"/>
          <w:spacing w:val="-3"/>
          <w:sz w:val="28"/>
        </w:rPr>
        <w:t>做出裁决，参赛选手应听从裁判裁决；</w:t>
      </w:r>
    </w:p>
    <w:p>
      <w:pPr>
        <w:tabs>
          <w:tab w:val="left" w:pos="1008"/>
        </w:tabs>
        <w:spacing w:line="360" w:lineRule="auto"/>
        <w:ind w:right="135" w:firstLine="540"/>
        <w:rPr>
          <w:spacing w:val="-3"/>
          <w:sz w:val="28"/>
        </w:rPr>
      </w:pPr>
      <w:r>
        <w:rPr>
          <w:rFonts w:hint="eastAsia"/>
          <w:spacing w:val="-3"/>
          <w:sz w:val="28"/>
        </w:rPr>
        <w:t>（</w:t>
      </w:r>
      <w:r>
        <w:rPr>
          <w:spacing w:val="-3"/>
          <w:sz w:val="28"/>
        </w:rPr>
        <w:t>5</w:t>
      </w:r>
      <w:r>
        <w:rPr>
          <w:rFonts w:hint="eastAsia"/>
          <w:spacing w:val="-3"/>
          <w:sz w:val="28"/>
        </w:rPr>
        <w:t>）在新冠肺炎疫情防控常态化下，做好疫情防控管理措施和应急预案，</w:t>
      </w:r>
      <w:r>
        <w:rPr>
          <w:spacing w:val="-3"/>
          <w:sz w:val="28"/>
        </w:rPr>
        <w:t xml:space="preserve"> </w:t>
      </w:r>
      <w:r>
        <w:rPr>
          <w:rFonts w:hint="eastAsia"/>
          <w:spacing w:val="-2"/>
          <w:sz w:val="28"/>
        </w:rPr>
        <w:t>做好参赛选手、指导教师、裁判员、工作人员的测温亮码工作，在住宿、</w:t>
      </w:r>
      <w:r>
        <w:rPr>
          <w:rFonts w:hint="eastAsia"/>
          <w:spacing w:val="-3"/>
          <w:sz w:val="28"/>
        </w:rPr>
        <w:t>餐饮、交通各环节严格落实疫情常态化管理措施。</w:t>
      </w:r>
    </w:p>
    <w:p>
      <w:pPr>
        <w:tabs>
          <w:tab w:val="left" w:pos="1008"/>
        </w:tabs>
        <w:spacing w:line="360" w:lineRule="auto"/>
        <w:ind w:right="135"/>
        <w:rPr>
          <w:sz w:val="28"/>
        </w:rPr>
      </w:pPr>
      <w:r>
        <w:rPr>
          <w:rFonts w:hint="eastAsia" w:ascii="黑体" w:hAnsi="黑体" w:eastAsia="黑体"/>
          <w:b/>
          <w:bCs/>
          <w:spacing w:val="-3"/>
          <w:sz w:val="28"/>
        </w:rPr>
        <w:t>十二、赛场安全</w:t>
      </w:r>
    </w:p>
    <w:p>
      <w:pPr>
        <w:pStyle w:val="10"/>
        <w:numPr>
          <w:ilvl w:val="0"/>
          <w:numId w:val="1"/>
        </w:numPr>
        <w:spacing w:before="71" w:line="360" w:lineRule="auto"/>
        <w:rPr>
          <w:rFonts w:ascii="黑体" w:hAnsi="黑体" w:eastAsia="黑体"/>
          <w:spacing w:val="-3"/>
          <w:sz w:val="28"/>
        </w:rPr>
      </w:pPr>
      <w:r>
        <w:rPr>
          <w:rFonts w:hint="eastAsia" w:ascii="黑体" w:hAnsi="黑体" w:eastAsia="黑体"/>
          <w:spacing w:val="-3"/>
          <w:sz w:val="28"/>
        </w:rPr>
        <w:t>消防安全</w:t>
      </w:r>
    </w:p>
    <w:p>
      <w:pPr>
        <w:tabs>
          <w:tab w:val="left" w:pos="1008"/>
        </w:tabs>
        <w:spacing w:line="360" w:lineRule="auto"/>
        <w:ind w:right="135" w:firstLine="540"/>
        <w:rPr>
          <w:spacing w:val="-2"/>
          <w:sz w:val="28"/>
        </w:rPr>
      </w:pPr>
      <w:r>
        <w:rPr>
          <w:rFonts w:hint="eastAsia"/>
          <w:spacing w:val="-2"/>
          <w:sz w:val="28"/>
        </w:rPr>
        <w:t>赛场内要配备适当的消防设备，包括喷淋、沙堆、灭火器等，要保证消防通道的畅通。</w:t>
      </w:r>
    </w:p>
    <w:p>
      <w:pPr>
        <w:pStyle w:val="2"/>
        <w:spacing w:line="360" w:lineRule="auto"/>
        <w:ind w:left="0"/>
        <w:rPr>
          <w:rFonts w:ascii="黑体" w:hAnsi="黑体" w:eastAsia="黑体" w:cs="宋体"/>
          <w:b w:val="0"/>
          <w:bCs w:val="0"/>
          <w:spacing w:val="-3"/>
          <w:sz w:val="28"/>
          <w:szCs w:val="22"/>
        </w:rPr>
      </w:pPr>
      <w:r>
        <w:rPr>
          <w:rFonts w:ascii="宋体" w:hAnsi="宋体" w:eastAsia="宋体" w:cs="宋体"/>
          <w:b w:val="0"/>
          <w:bCs w:val="0"/>
          <w:spacing w:val="-3"/>
          <w:sz w:val="28"/>
          <w:szCs w:val="22"/>
        </w:rPr>
        <w:t xml:space="preserve">   </w:t>
      </w:r>
      <w:r>
        <w:rPr>
          <w:rFonts w:ascii="黑体" w:hAnsi="黑体" w:eastAsia="黑体" w:cs="宋体"/>
          <w:b w:val="0"/>
          <w:bCs w:val="0"/>
          <w:spacing w:val="-3"/>
          <w:sz w:val="28"/>
          <w:szCs w:val="22"/>
        </w:rPr>
        <w:t xml:space="preserve"> </w:t>
      </w:r>
      <w:r>
        <w:rPr>
          <w:rFonts w:hint="eastAsia" w:ascii="黑体" w:hAnsi="黑体" w:eastAsia="黑体" w:cs="宋体"/>
          <w:b w:val="0"/>
          <w:bCs w:val="0"/>
          <w:spacing w:val="-3"/>
          <w:sz w:val="28"/>
          <w:szCs w:val="22"/>
        </w:rPr>
        <w:t>（二）人身安全</w:t>
      </w:r>
    </w:p>
    <w:p>
      <w:pPr>
        <w:pStyle w:val="4"/>
        <w:spacing w:before="131" w:line="360" w:lineRule="auto"/>
        <w:ind w:left="0" w:right="256"/>
        <w:rPr>
          <w:spacing w:val="-3"/>
          <w:szCs w:val="22"/>
        </w:rPr>
      </w:pPr>
      <w:r>
        <w:rPr>
          <w:spacing w:val="-3"/>
          <w:szCs w:val="22"/>
        </w:rPr>
        <w:t xml:space="preserve">    </w:t>
      </w:r>
      <w:r>
        <w:rPr>
          <w:rFonts w:hint="eastAsia"/>
          <w:spacing w:val="-3"/>
          <w:szCs w:val="22"/>
        </w:rPr>
        <w:t>赛场内配备适当数量的洗眼装置，配备应急医务人员。配备一定数量的安保人员，维持赛场内外秩序。</w:t>
      </w:r>
    </w:p>
    <w:p>
      <w:pPr>
        <w:pStyle w:val="2"/>
        <w:spacing w:line="360" w:lineRule="auto"/>
        <w:ind w:left="0"/>
        <w:rPr>
          <w:rFonts w:ascii="黑体" w:hAnsi="黑体" w:eastAsia="黑体" w:cs="宋体"/>
          <w:b w:val="0"/>
          <w:bCs w:val="0"/>
          <w:spacing w:val="-3"/>
          <w:sz w:val="28"/>
          <w:szCs w:val="22"/>
        </w:rPr>
      </w:pPr>
      <w:r>
        <w:rPr>
          <w:rFonts w:ascii="宋体" w:hAnsi="宋体" w:eastAsia="宋体" w:cs="宋体"/>
          <w:b w:val="0"/>
          <w:bCs w:val="0"/>
          <w:spacing w:val="-3"/>
          <w:sz w:val="28"/>
          <w:szCs w:val="22"/>
        </w:rPr>
        <w:t xml:space="preserve">    </w:t>
      </w:r>
      <w:r>
        <w:rPr>
          <w:rFonts w:hint="eastAsia" w:ascii="黑体" w:hAnsi="黑体" w:eastAsia="黑体" w:cs="宋体"/>
          <w:b w:val="0"/>
          <w:bCs w:val="0"/>
          <w:spacing w:val="-3"/>
          <w:sz w:val="28"/>
          <w:szCs w:val="22"/>
        </w:rPr>
        <w:t>（三）动力安全</w:t>
      </w:r>
    </w:p>
    <w:p>
      <w:pPr>
        <w:pStyle w:val="4"/>
        <w:spacing w:before="131" w:line="360" w:lineRule="auto"/>
        <w:ind w:left="0" w:right="256"/>
        <w:rPr>
          <w:spacing w:val="-3"/>
          <w:szCs w:val="22"/>
        </w:rPr>
      </w:pPr>
      <w:r>
        <w:rPr>
          <w:spacing w:val="-3"/>
          <w:szCs w:val="22"/>
        </w:rPr>
        <w:t xml:space="preserve">    </w:t>
      </w:r>
      <w:r>
        <w:rPr>
          <w:rFonts w:hint="eastAsia"/>
          <w:spacing w:val="-3"/>
          <w:szCs w:val="22"/>
        </w:rPr>
        <w:t>为保证竞赛顺利进行，赛场应配备应急电源和临时储备用水，以备临时停电停水之用。</w:t>
      </w:r>
    </w:p>
    <w:p>
      <w:pPr>
        <w:pStyle w:val="4"/>
        <w:spacing w:before="131" w:line="360" w:lineRule="auto"/>
        <w:ind w:left="0" w:right="256"/>
        <w:rPr>
          <w:rFonts w:ascii="黑体" w:hAnsi="黑体" w:eastAsia="黑体"/>
          <w:spacing w:val="-3"/>
          <w:szCs w:val="22"/>
        </w:rPr>
      </w:pPr>
      <w:r>
        <w:rPr>
          <w:rFonts w:hint="eastAsia" w:ascii="黑体" w:hAnsi="黑体" w:eastAsia="黑体"/>
          <w:spacing w:val="-3"/>
          <w:szCs w:val="22"/>
        </w:rPr>
        <w:t>十三、竞赛须知</w:t>
      </w:r>
    </w:p>
    <w:p>
      <w:pPr>
        <w:pStyle w:val="4"/>
        <w:spacing w:before="131" w:line="360" w:lineRule="auto"/>
        <w:ind w:left="0" w:right="256"/>
        <w:rPr>
          <w:spacing w:val="-3"/>
          <w:szCs w:val="22"/>
        </w:rPr>
      </w:pPr>
      <w:r>
        <w:rPr>
          <w:spacing w:val="-3"/>
          <w:szCs w:val="22"/>
        </w:rPr>
        <w:t xml:space="preserve">    </w:t>
      </w:r>
      <w:r>
        <w:rPr>
          <w:rFonts w:hint="eastAsia"/>
          <w:spacing w:val="-3"/>
          <w:szCs w:val="22"/>
        </w:rPr>
        <w:t>各参赛代表队要发扬良好道德风尚，听从指挥，服从裁判，不弄虚作假。如发现弄虚作假者，取消参赛资格，名次无效。</w:t>
      </w:r>
    </w:p>
    <w:p>
      <w:pPr>
        <w:pStyle w:val="4"/>
        <w:spacing w:before="54" w:line="360" w:lineRule="auto"/>
        <w:ind w:left="0" w:right="256"/>
      </w:pPr>
      <w:r>
        <w:rPr>
          <w:b/>
          <w:bCs/>
        </w:rPr>
        <w:t xml:space="preserve">    </w:t>
      </w:r>
      <w:r>
        <w:rPr>
          <w:rFonts w:hint="eastAsia"/>
          <w:b/>
          <w:bCs/>
        </w:rPr>
        <w:t>（一）参赛队须知</w:t>
      </w:r>
    </w:p>
    <w:p>
      <w:pPr>
        <w:tabs>
          <w:tab w:val="left" w:pos="1128"/>
        </w:tabs>
        <w:spacing w:before="123" w:line="360" w:lineRule="auto"/>
        <w:ind w:right="114"/>
        <w:rPr>
          <w:sz w:val="28"/>
          <w:szCs w:val="28"/>
        </w:rPr>
      </w:pPr>
      <w:r>
        <w:rPr>
          <w:sz w:val="28"/>
          <w:szCs w:val="28"/>
        </w:rPr>
        <w:t xml:space="preserve">    1.</w:t>
      </w:r>
      <w:r>
        <w:rPr>
          <w:rFonts w:hint="eastAsia"/>
          <w:sz w:val="28"/>
          <w:szCs w:val="28"/>
        </w:rPr>
        <w:t>本赛项包括农药残留检测和重金属污染物检测共</w:t>
      </w:r>
      <w:r>
        <w:rPr>
          <w:sz w:val="28"/>
          <w:szCs w:val="28"/>
        </w:rPr>
        <w:t xml:space="preserve"> 2 </w:t>
      </w:r>
      <w:r>
        <w:rPr>
          <w:rFonts w:hint="eastAsia"/>
          <w:sz w:val="28"/>
          <w:szCs w:val="28"/>
        </w:rPr>
        <w:t>个项目，为团体赛。</w:t>
      </w:r>
    </w:p>
    <w:p>
      <w:pPr>
        <w:tabs>
          <w:tab w:val="left" w:pos="1128"/>
        </w:tabs>
        <w:spacing w:line="360" w:lineRule="auto"/>
        <w:rPr>
          <w:sz w:val="28"/>
        </w:rPr>
      </w:pPr>
      <w:r>
        <w:rPr>
          <w:spacing w:val="-3"/>
          <w:sz w:val="28"/>
        </w:rPr>
        <w:t xml:space="preserve">    2.</w:t>
      </w:r>
      <w:r>
        <w:rPr>
          <w:rFonts w:hint="eastAsia"/>
          <w:spacing w:val="-3"/>
          <w:sz w:val="28"/>
        </w:rPr>
        <w:t>指导教师须为本校专职教师。</w:t>
      </w:r>
    </w:p>
    <w:p>
      <w:pPr>
        <w:tabs>
          <w:tab w:val="left" w:pos="1128"/>
        </w:tabs>
        <w:adjustRightInd w:val="0"/>
        <w:snapToGrid w:val="0"/>
        <w:spacing w:before="183" w:line="360" w:lineRule="auto"/>
        <w:rPr>
          <w:sz w:val="28"/>
          <w:szCs w:val="28"/>
        </w:rPr>
      </w:pPr>
      <w:r>
        <w:rPr>
          <w:sz w:val="28"/>
          <w:szCs w:val="28"/>
        </w:rPr>
        <w:t xml:space="preserve">    3.</w:t>
      </w:r>
      <w:r>
        <w:rPr>
          <w:rFonts w:hint="eastAsia"/>
          <w:sz w:val="28"/>
          <w:szCs w:val="28"/>
        </w:rPr>
        <w:t>领队：每参赛队设领队</w:t>
      </w:r>
      <w:r>
        <w:rPr>
          <w:sz w:val="28"/>
          <w:szCs w:val="28"/>
        </w:rPr>
        <w:t>1</w:t>
      </w:r>
      <w:r>
        <w:rPr>
          <w:rFonts w:hint="eastAsia"/>
          <w:sz w:val="28"/>
          <w:szCs w:val="28"/>
        </w:rPr>
        <w:t>名，负责竞赛的协调工作。</w:t>
      </w:r>
    </w:p>
    <w:p>
      <w:pPr>
        <w:tabs>
          <w:tab w:val="left" w:pos="1128"/>
        </w:tabs>
        <w:adjustRightInd w:val="0"/>
        <w:snapToGrid w:val="0"/>
        <w:spacing w:before="189" w:line="360" w:lineRule="auto"/>
        <w:ind w:right="255"/>
        <w:rPr>
          <w:sz w:val="28"/>
          <w:szCs w:val="28"/>
        </w:rPr>
      </w:pPr>
      <w:r>
        <w:rPr>
          <w:sz w:val="28"/>
          <w:szCs w:val="28"/>
        </w:rPr>
        <w:t xml:space="preserve">    4.</w:t>
      </w:r>
      <w:r>
        <w:rPr>
          <w:rFonts w:hint="eastAsia"/>
          <w:sz w:val="28"/>
          <w:szCs w:val="28"/>
        </w:rPr>
        <w:t>参赛队对大赛执委会发布的所有文件都要仔细阅读，确切了解大赛时间安排、评判细节等，以保证顺利参加大赛。</w:t>
      </w:r>
    </w:p>
    <w:p>
      <w:pPr>
        <w:tabs>
          <w:tab w:val="left" w:pos="1128"/>
        </w:tabs>
        <w:adjustRightInd w:val="0"/>
        <w:snapToGrid w:val="0"/>
        <w:spacing w:line="360" w:lineRule="auto"/>
        <w:ind w:right="255"/>
        <w:rPr>
          <w:sz w:val="28"/>
          <w:szCs w:val="28"/>
        </w:rPr>
      </w:pPr>
      <w:r>
        <w:rPr>
          <w:sz w:val="28"/>
          <w:szCs w:val="28"/>
        </w:rPr>
        <w:t xml:space="preserve">    5.</w:t>
      </w:r>
      <w:r>
        <w:rPr>
          <w:rFonts w:hint="eastAsia"/>
          <w:sz w:val="28"/>
          <w:szCs w:val="28"/>
        </w:rPr>
        <w:t>参赛队领队负责本参赛队的参赛组织和与大赛的联络，并按时参加领队会议。</w:t>
      </w:r>
    </w:p>
    <w:p>
      <w:pPr>
        <w:tabs>
          <w:tab w:val="left" w:pos="1128"/>
        </w:tabs>
        <w:adjustRightInd w:val="0"/>
        <w:snapToGrid w:val="0"/>
        <w:spacing w:line="360" w:lineRule="auto"/>
        <w:ind w:right="255"/>
        <w:rPr>
          <w:sz w:val="28"/>
          <w:szCs w:val="28"/>
        </w:rPr>
      </w:pPr>
      <w:r>
        <w:rPr>
          <w:sz w:val="28"/>
          <w:szCs w:val="28"/>
        </w:rPr>
        <w:t xml:space="preserve">    6.</w:t>
      </w:r>
      <w:r>
        <w:rPr>
          <w:rFonts w:hint="eastAsia"/>
          <w:sz w:val="28"/>
          <w:szCs w:val="28"/>
        </w:rPr>
        <w:t>参赛队按照赛项赛程安排，凭赛项组委会颁发的参赛证和有效身份证件参加竞赛及相关活动。</w:t>
      </w:r>
    </w:p>
    <w:p>
      <w:pPr>
        <w:tabs>
          <w:tab w:val="left" w:pos="1128"/>
        </w:tabs>
        <w:adjustRightInd w:val="0"/>
        <w:snapToGrid w:val="0"/>
        <w:spacing w:line="360" w:lineRule="auto"/>
        <w:rPr>
          <w:sz w:val="28"/>
          <w:szCs w:val="28"/>
        </w:rPr>
      </w:pPr>
      <w:r>
        <w:rPr>
          <w:sz w:val="28"/>
          <w:szCs w:val="28"/>
        </w:rPr>
        <w:t xml:space="preserve">    7.</w:t>
      </w:r>
      <w:r>
        <w:rPr>
          <w:rFonts w:hint="eastAsia"/>
          <w:sz w:val="28"/>
          <w:szCs w:val="28"/>
        </w:rPr>
        <w:t>参赛队选手必须统一购买在竞赛期间的意外伤害保险。</w:t>
      </w:r>
    </w:p>
    <w:p>
      <w:pPr>
        <w:tabs>
          <w:tab w:val="left" w:pos="1128"/>
        </w:tabs>
        <w:adjustRightInd w:val="0"/>
        <w:snapToGrid w:val="0"/>
        <w:spacing w:before="181" w:line="360" w:lineRule="auto"/>
        <w:rPr>
          <w:sz w:val="28"/>
          <w:szCs w:val="28"/>
        </w:rPr>
      </w:pPr>
      <w:r>
        <w:rPr>
          <w:sz w:val="28"/>
          <w:szCs w:val="28"/>
        </w:rPr>
        <w:t xml:space="preserve">    8.</w:t>
      </w:r>
      <w:r>
        <w:rPr>
          <w:rFonts w:hint="eastAsia"/>
          <w:sz w:val="28"/>
          <w:szCs w:val="28"/>
        </w:rPr>
        <w:t>参赛选手应自觉遵守赛场纪律，服从裁判、听从指挥。</w:t>
      </w:r>
    </w:p>
    <w:p>
      <w:pPr>
        <w:tabs>
          <w:tab w:val="left" w:pos="1128"/>
        </w:tabs>
        <w:adjustRightInd w:val="0"/>
        <w:snapToGrid w:val="0"/>
        <w:spacing w:before="186" w:line="360" w:lineRule="auto"/>
        <w:ind w:right="255"/>
        <w:rPr>
          <w:sz w:val="28"/>
          <w:szCs w:val="28"/>
        </w:rPr>
      </w:pPr>
      <w:r>
        <w:rPr>
          <w:sz w:val="28"/>
          <w:szCs w:val="28"/>
        </w:rPr>
        <w:t xml:space="preserve">    9.</w:t>
      </w:r>
      <w:r>
        <w:rPr>
          <w:rFonts w:hint="eastAsia"/>
          <w:sz w:val="28"/>
          <w:szCs w:val="28"/>
        </w:rPr>
        <w:t>对于本规则没有规定的行为，裁判组有权做出裁决。在有争议的情况下，裁判的裁决是最终裁决，任何媒体资料都不做参考。</w:t>
      </w:r>
    </w:p>
    <w:p>
      <w:pPr>
        <w:tabs>
          <w:tab w:val="left" w:pos="1268"/>
        </w:tabs>
        <w:adjustRightInd w:val="0"/>
        <w:snapToGrid w:val="0"/>
        <w:spacing w:line="360" w:lineRule="auto"/>
        <w:rPr>
          <w:sz w:val="28"/>
        </w:rPr>
      </w:pPr>
      <w:r>
        <w:rPr>
          <w:sz w:val="28"/>
          <w:szCs w:val="28"/>
        </w:rPr>
        <w:t xml:space="preserve">    10.</w:t>
      </w:r>
      <w:r>
        <w:rPr>
          <w:rFonts w:hint="eastAsia"/>
          <w:sz w:val="28"/>
          <w:szCs w:val="28"/>
        </w:rPr>
        <w:t>本竞赛项目的解释权归大赛组委会</w:t>
      </w:r>
      <w:r>
        <w:rPr>
          <w:rFonts w:hint="eastAsia"/>
          <w:spacing w:val="-3"/>
          <w:sz w:val="28"/>
        </w:rPr>
        <w:t>。</w:t>
      </w:r>
    </w:p>
    <w:p>
      <w:pPr>
        <w:pStyle w:val="3"/>
        <w:spacing w:before="94" w:line="360" w:lineRule="auto"/>
        <w:ind w:left="0" w:firstLine="413" w:firstLineChars="147"/>
        <w:rPr>
          <w:rFonts w:ascii="黑体" w:hAnsi="黑体" w:eastAsia="黑体"/>
        </w:rPr>
      </w:pPr>
      <w:r>
        <w:rPr>
          <w:rFonts w:hint="eastAsia" w:ascii="黑体" w:hAnsi="黑体" w:eastAsia="黑体"/>
        </w:rPr>
        <w:t>（二）指导教师须知</w:t>
      </w:r>
    </w:p>
    <w:p>
      <w:pPr>
        <w:tabs>
          <w:tab w:val="left" w:pos="1128"/>
        </w:tabs>
        <w:spacing w:before="122" w:line="360" w:lineRule="auto"/>
        <w:ind w:right="253"/>
        <w:rPr>
          <w:sz w:val="28"/>
        </w:rPr>
      </w:pPr>
      <w:r>
        <w:rPr>
          <w:spacing w:val="-9"/>
          <w:sz w:val="28"/>
        </w:rPr>
        <w:t xml:space="preserve">    1.</w:t>
      </w:r>
      <w:r>
        <w:rPr>
          <w:rFonts w:hint="eastAsia"/>
          <w:spacing w:val="-9"/>
          <w:sz w:val="28"/>
        </w:rPr>
        <w:t>每个参赛队限</w:t>
      </w:r>
      <w:r>
        <w:rPr>
          <w:spacing w:val="-9"/>
          <w:sz w:val="28"/>
        </w:rPr>
        <w:t xml:space="preserve"> </w:t>
      </w:r>
      <w:r>
        <w:rPr>
          <w:rFonts w:ascii="Times New Roman" w:eastAsia="Times New Roman"/>
          <w:sz w:val="28"/>
        </w:rPr>
        <w:t>2</w:t>
      </w:r>
      <w:r>
        <w:rPr>
          <w:rFonts w:ascii="Times New Roman" w:eastAsia="Times New Roman"/>
          <w:spacing w:val="10"/>
          <w:sz w:val="28"/>
        </w:rPr>
        <w:t xml:space="preserve"> </w:t>
      </w:r>
      <w:r>
        <w:rPr>
          <w:rFonts w:hint="eastAsia"/>
          <w:sz w:val="28"/>
        </w:rPr>
        <w:t>名指导教师，指导教师经报名并通过资格审查后确</w:t>
      </w:r>
      <w:r>
        <w:rPr>
          <w:rFonts w:hint="eastAsia"/>
          <w:spacing w:val="-3"/>
          <w:sz w:val="28"/>
        </w:rPr>
        <w:t>定，选手和指导教师的对应关系一经确定不得随意变更。</w:t>
      </w:r>
    </w:p>
    <w:p>
      <w:pPr>
        <w:tabs>
          <w:tab w:val="left" w:pos="1128"/>
        </w:tabs>
        <w:spacing w:before="71" w:line="360" w:lineRule="auto"/>
        <w:ind w:right="255"/>
        <w:rPr>
          <w:sz w:val="28"/>
        </w:rPr>
      </w:pPr>
      <w:r>
        <w:rPr>
          <w:sz w:val="28"/>
        </w:rPr>
        <w:t xml:space="preserve">    2.</w:t>
      </w:r>
      <w:r>
        <w:rPr>
          <w:rFonts w:hint="eastAsia"/>
          <w:sz w:val="28"/>
        </w:rPr>
        <w:t>做好本单位比赛选手的业务辅导、心理疏导和思想引导工作，对参</w:t>
      </w:r>
      <w:r>
        <w:rPr>
          <w:rFonts w:hint="eastAsia"/>
          <w:spacing w:val="-3"/>
          <w:sz w:val="28"/>
        </w:rPr>
        <w:t>赛选手及比赛过程报以平和、包容的心态；共同维护竞赛秩序。</w:t>
      </w:r>
    </w:p>
    <w:p>
      <w:pPr>
        <w:tabs>
          <w:tab w:val="left" w:pos="1128"/>
        </w:tabs>
        <w:spacing w:line="360" w:lineRule="auto"/>
        <w:ind w:right="255"/>
        <w:rPr>
          <w:sz w:val="28"/>
        </w:rPr>
      </w:pPr>
      <w:r>
        <w:rPr>
          <w:sz w:val="28"/>
        </w:rPr>
        <w:t xml:space="preserve">    3.</w:t>
      </w:r>
      <w:r>
        <w:rPr>
          <w:rFonts w:hint="eastAsia"/>
          <w:sz w:val="28"/>
        </w:rPr>
        <w:t>自觉遵守竞赛规则，尊重和支持裁判工作，不随意进入比赛现场及</w:t>
      </w:r>
      <w:r>
        <w:rPr>
          <w:rFonts w:hint="eastAsia"/>
          <w:spacing w:val="-3"/>
          <w:sz w:val="28"/>
        </w:rPr>
        <w:t>其他禁止入内的区域，发现违规取消该队参赛资格。</w:t>
      </w:r>
    </w:p>
    <w:p>
      <w:pPr>
        <w:tabs>
          <w:tab w:val="left" w:pos="1128"/>
        </w:tabs>
        <w:spacing w:line="360" w:lineRule="auto"/>
        <w:ind w:right="114"/>
        <w:rPr>
          <w:sz w:val="28"/>
        </w:rPr>
      </w:pPr>
      <w:r>
        <w:rPr>
          <w:spacing w:val="-8"/>
          <w:sz w:val="28"/>
        </w:rPr>
        <w:t xml:space="preserve">    4.</w:t>
      </w:r>
      <w:r>
        <w:rPr>
          <w:rFonts w:hint="eastAsia"/>
          <w:spacing w:val="-8"/>
          <w:sz w:val="28"/>
        </w:rPr>
        <w:t>当本单位参赛选手对比赛进程中出现异常或疑问，应及时了解情况，</w:t>
      </w:r>
      <w:r>
        <w:rPr>
          <w:spacing w:val="-8"/>
          <w:sz w:val="28"/>
        </w:rPr>
        <w:t xml:space="preserve"> </w:t>
      </w:r>
      <w:r>
        <w:rPr>
          <w:rFonts w:hint="eastAsia"/>
          <w:spacing w:val="-5"/>
          <w:sz w:val="28"/>
        </w:rPr>
        <w:t>客观作出判断，并做好选手的安抚工作，经内部进行协商，认为有必要时</w:t>
      </w:r>
      <w:r>
        <w:rPr>
          <w:rFonts w:hint="eastAsia"/>
          <w:spacing w:val="-3"/>
          <w:sz w:val="28"/>
        </w:rPr>
        <w:t>可在规定时限内向赛项监督仲裁工作组反映情况或提出书面仲裁申请。</w:t>
      </w:r>
    </w:p>
    <w:p>
      <w:pPr>
        <w:pStyle w:val="3"/>
        <w:spacing w:line="360" w:lineRule="auto"/>
        <w:ind w:left="540"/>
        <w:rPr>
          <w:rFonts w:eastAsia="宋体"/>
        </w:rPr>
      </w:pPr>
      <w:r>
        <w:rPr>
          <w:rFonts w:hint="eastAsia" w:eastAsia="宋体"/>
        </w:rPr>
        <w:t>（三）参赛选手须知</w:t>
      </w:r>
    </w:p>
    <w:p>
      <w:pPr>
        <w:tabs>
          <w:tab w:val="left" w:pos="1128"/>
        </w:tabs>
        <w:spacing w:before="123" w:line="360" w:lineRule="auto"/>
        <w:ind w:right="255"/>
        <w:rPr>
          <w:sz w:val="28"/>
        </w:rPr>
      </w:pPr>
      <w:r>
        <w:rPr>
          <w:sz w:val="28"/>
        </w:rPr>
        <w:t xml:space="preserve">    1.</w:t>
      </w:r>
      <w:r>
        <w:rPr>
          <w:rFonts w:hint="eastAsia"/>
          <w:sz w:val="28"/>
        </w:rPr>
        <w:t>参赛选手严格遵守赛场规章、操作规程，保证人身及设备安全，接</w:t>
      </w:r>
      <w:r>
        <w:rPr>
          <w:rFonts w:hint="eastAsia"/>
          <w:spacing w:val="-3"/>
          <w:sz w:val="28"/>
        </w:rPr>
        <w:t>受裁判员的监督和警示，文明竞赛。</w:t>
      </w:r>
    </w:p>
    <w:p>
      <w:pPr>
        <w:tabs>
          <w:tab w:val="left" w:pos="1128"/>
        </w:tabs>
        <w:spacing w:line="360" w:lineRule="auto"/>
        <w:rPr>
          <w:sz w:val="28"/>
        </w:rPr>
      </w:pPr>
      <w:r>
        <w:rPr>
          <w:spacing w:val="-3"/>
          <w:sz w:val="28"/>
        </w:rPr>
        <w:t xml:space="preserve">    2.</w:t>
      </w:r>
      <w:r>
        <w:rPr>
          <w:rFonts w:hint="eastAsia"/>
          <w:spacing w:val="-3"/>
          <w:sz w:val="28"/>
        </w:rPr>
        <w:t>各参赛队应在竞赛开始前一天规定的时间段进入赛场熟悉环境。</w:t>
      </w:r>
    </w:p>
    <w:p>
      <w:pPr>
        <w:tabs>
          <w:tab w:val="left" w:pos="1128"/>
        </w:tabs>
        <w:spacing w:before="186" w:line="360" w:lineRule="auto"/>
        <w:ind w:right="253"/>
        <w:rPr>
          <w:sz w:val="28"/>
        </w:rPr>
      </w:pPr>
      <w:r>
        <w:rPr>
          <w:sz w:val="28"/>
        </w:rPr>
        <w:t xml:space="preserve">    3.</w:t>
      </w:r>
      <w:r>
        <w:rPr>
          <w:rFonts w:hint="eastAsia"/>
          <w:sz w:val="28"/>
        </w:rPr>
        <w:t>限于竞赛场地设备等条件的制约，二个现场操作项目的竞赛需要分批进行，选手参加考试的批次和竞赛工位将通过抽签决定。参赛选手应持凭身份证、学生证，按要求到各考核项目指定地点接受检录、抽签决定竞</w:t>
      </w:r>
      <w:r>
        <w:rPr>
          <w:rFonts w:hint="eastAsia"/>
          <w:spacing w:val="-2"/>
          <w:sz w:val="28"/>
        </w:rPr>
        <w:t>赛座位等。</w:t>
      </w:r>
    </w:p>
    <w:p>
      <w:pPr>
        <w:tabs>
          <w:tab w:val="left" w:pos="1128"/>
        </w:tabs>
        <w:spacing w:line="360" w:lineRule="auto"/>
        <w:ind w:right="255"/>
        <w:rPr>
          <w:sz w:val="28"/>
        </w:rPr>
      </w:pPr>
      <w:r>
        <w:rPr>
          <w:sz w:val="28"/>
        </w:rPr>
        <w:t xml:space="preserve">    4.</w:t>
      </w:r>
      <w:r>
        <w:rPr>
          <w:rFonts w:hint="eastAsia"/>
          <w:sz w:val="28"/>
        </w:rPr>
        <w:t>参赛选手应按要求佩戴相关证件，并根据竞赛项目要求穿统一的实</w:t>
      </w:r>
      <w:r>
        <w:rPr>
          <w:rFonts w:hint="eastAsia"/>
          <w:spacing w:val="-2"/>
          <w:sz w:val="28"/>
        </w:rPr>
        <w:t>验服。</w:t>
      </w:r>
    </w:p>
    <w:p>
      <w:pPr>
        <w:tabs>
          <w:tab w:val="left" w:pos="1128"/>
        </w:tabs>
        <w:spacing w:line="360" w:lineRule="auto"/>
        <w:ind w:right="253"/>
        <w:rPr>
          <w:sz w:val="28"/>
        </w:rPr>
      </w:pPr>
      <w:r>
        <w:rPr>
          <w:sz w:val="28"/>
        </w:rPr>
        <w:t xml:space="preserve">    5.</w:t>
      </w:r>
      <w:r>
        <w:rPr>
          <w:rFonts w:hint="eastAsia"/>
          <w:sz w:val="28"/>
        </w:rPr>
        <w:t>参赛选手进入赛场，不允许携带任何书籍和其他纸质资料（相关技术资料由赛项执委会统一提供），不允许携带通讯工具和存储设备。现场操作考核项目的操作规程、数据记录纸、签字笔等将由组委会统一提供，</w:t>
      </w:r>
      <w:r>
        <w:rPr>
          <w:sz w:val="28"/>
        </w:rPr>
        <w:t xml:space="preserve"> </w:t>
      </w:r>
      <w:r>
        <w:rPr>
          <w:rFonts w:hint="eastAsia"/>
          <w:spacing w:val="-3"/>
          <w:sz w:val="28"/>
        </w:rPr>
        <w:t>现场提供的物品各参赛队可以根据竞赛需要自行选择使用。</w:t>
      </w:r>
    </w:p>
    <w:p>
      <w:pPr>
        <w:tabs>
          <w:tab w:val="left" w:pos="1128"/>
        </w:tabs>
        <w:spacing w:line="360" w:lineRule="auto"/>
        <w:ind w:right="253"/>
        <w:rPr>
          <w:sz w:val="28"/>
          <w:szCs w:val="28"/>
        </w:rPr>
      </w:pPr>
      <w:r>
        <w:rPr>
          <w:sz w:val="28"/>
          <w:szCs w:val="28"/>
        </w:rPr>
        <w:t xml:space="preserve">    6.</w:t>
      </w:r>
      <w:r>
        <w:rPr>
          <w:rFonts w:hint="eastAsia"/>
          <w:sz w:val="28"/>
          <w:szCs w:val="28"/>
        </w:rPr>
        <w:t>竞赛时，在收到开赛信号前不得启动操作，各参赛选手需在抽签确定的工位上完成相应竞赛项目，严禁作弊行为。比赛期间参赛选手不得离开比赛场地，如有特殊情况，需经裁判人员同意后方可离开，但离开期间的时间一律计算在比赛时间内。</w:t>
      </w:r>
    </w:p>
    <w:p>
      <w:pPr>
        <w:tabs>
          <w:tab w:val="left" w:pos="1128"/>
        </w:tabs>
        <w:spacing w:line="360" w:lineRule="auto"/>
        <w:ind w:right="255"/>
        <w:rPr>
          <w:sz w:val="28"/>
        </w:rPr>
      </w:pPr>
      <w:r>
        <w:rPr>
          <w:sz w:val="28"/>
        </w:rPr>
        <w:t xml:space="preserve">    7.</w:t>
      </w:r>
      <w:r>
        <w:rPr>
          <w:rFonts w:hint="eastAsia"/>
          <w:sz w:val="28"/>
        </w:rPr>
        <w:t>竞赛期间，竞赛选手应服从裁判评判，若对裁判评分产生异议，不得与裁判争执、顶撞，但可于规定时限内由领队向竞赛监督仲裁委员会提</w:t>
      </w:r>
      <w:r>
        <w:rPr>
          <w:rFonts w:hint="eastAsia"/>
          <w:spacing w:val="-3"/>
          <w:sz w:val="28"/>
        </w:rPr>
        <w:t>出书面仲裁申请；由竞赛监督促裁委员会调查核实并处理。</w:t>
      </w:r>
    </w:p>
    <w:p>
      <w:pPr>
        <w:tabs>
          <w:tab w:val="left" w:pos="1128"/>
        </w:tabs>
        <w:spacing w:line="360" w:lineRule="auto"/>
        <w:ind w:right="114"/>
        <w:rPr>
          <w:sz w:val="28"/>
        </w:rPr>
      </w:pPr>
      <w:r>
        <w:rPr>
          <w:sz w:val="28"/>
        </w:rPr>
        <w:t xml:space="preserve">    8.</w:t>
      </w:r>
      <w:r>
        <w:rPr>
          <w:rFonts w:hint="eastAsia"/>
          <w:sz w:val="28"/>
        </w:rPr>
        <w:t>竞赛期间，参赛选手必须严格遵守赛场纪律，不得在赛场内大声喧哗，不得作弊或弄虚作假；同时，必须严格遵守操作规程，确保设备和人</w:t>
      </w:r>
      <w:r>
        <w:rPr>
          <w:rFonts w:hint="eastAsia"/>
          <w:spacing w:val="-6"/>
          <w:sz w:val="28"/>
        </w:rPr>
        <w:t>身安全，并接受裁判员的监督和警示。若因选手因素造成设备故障或损坏，</w:t>
      </w:r>
      <w:r>
        <w:rPr>
          <w:spacing w:val="-6"/>
          <w:sz w:val="28"/>
        </w:rPr>
        <w:t xml:space="preserve"> </w:t>
      </w:r>
      <w:r>
        <w:rPr>
          <w:rFonts w:hint="eastAsia"/>
          <w:spacing w:val="-4"/>
          <w:sz w:val="28"/>
        </w:rPr>
        <w:t>无法进行比赛，裁判长有权终止该队比赛；若因非选手个人因素造成设备</w:t>
      </w:r>
      <w:r>
        <w:rPr>
          <w:rFonts w:hint="eastAsia"/>
          <w:spacing w:val="-3"/>
          <w:sz w:val="28"/>
        </w:rPr>
        <w:t>故障的，由裁判长视具体情况做出裁决。</w:t>
      </w:r>
    </w:p>
    <w:p>
      <w:pPr>
        <w:tabs>
          <w:tab w:val="left" w:pos="1128"/>
        </w:tabs>
        <w:spacing w:line="360" w:lineRule="auto"/>
        <w:ind w:right="253"/>
        <w:rPr>
          <w:sz w:val="28"/>
        </w:rPr>
      </w:pPr>
      <w:r>
        <w:rPr>
          <w:sz w:val="28"/>
        </w:rPr>
        <w:t xml:space="preserve">    9.</w:t>
      </w:r>
      <w:r>
        <w:rPr>
          <w:rFonts w:hint="eastAsia"/>
          <w:sz w:val="28"/>
        </w:rPr>
        <w:t>在竞赛规定时间结束时各参赛队应立即停止答题或操作，不得以任何理由拖延竞赛时间。参赛队欲提前结束比赛，应向现场裁判员举手示意</w:t>
      </w:r>
      <w:r>
        <w:rPr>
          <w:rFonts w:hint="eastAsia"/>
          <w:spacing w:val="-3"/>
          <w:sz w:val="28"/>
        </w:rPr>
        <w:t>并记录比赛终止时间，比赛终止后，不得再进行任何与比赛有关的操作。</w:t>
      </w:r>
    </w:p>
    <w:p>
      <w:pPr>
        <w:tabs>
          <w:tab w:val="left" w:pos="1268"/>
        </w:tabs>
        <w:spacing w:line="360" w:lineRule="auto"/>
        <w:ind w:right="253"/>
        <w:rPr>
          <w:sz w:val="28"/>
        </w:rPr>
      </w:pPr>
      <w:r>
        <w:rPr>
          <w:spacing w:val="-12"/>
          <w:sz w:val="28"/>
        </w:rPr>
        <w:t xml:space="preserve">    10.</w:t>
      </w:r>
      <w:r>
        <w:rPr>
          <w:rFonts w:hint="eastAsia"/>
          <w:spacing w:val="-12"/>
          <w:sz w:val="28"/>
        </w:rPr>
        <w:t>竞赛操作结束时，各参赛队要按照大赛要求和赛题要求提交竞赛材</w:t>
      </w:r>
      <w:r>
        <w:rPr>
          <w:rFonts w:hint="eastAsia"/>
          <w:spacing w:val="-6"/>
          <w:sz w:val="28"/>
        </w:rPr>
        <w:t>料，按照现场考试要求的名字进行命名，如不符合命名规则，体现单位信</w:t>
      </w:r>
      <w:r>
        <w:rPr>
          <w:rFonts w:hint="eastAsia"/>
          <w:spacing w:val="-3"/>
          <w:sz w:val="28"/>
        </w:rPr>
        <w:t>息与编号信息的，该队竞赛成绩将被取消。</w:t>
      </w:r>
    </w:p>
    <w:p>
      <w:pPr>
        <w:tabs>
          <w:tab w:val="left" w:pos="1128"/>
        </w:tabs>
        <w:spacing w:line="360" w:lineRule="auto"/>
        <w:ind w:right="253" w:firstLine="542" w:firstLineChars="197"/>
        <w:jc w:val="both"/>
        <w:rPr>
          <w:b/>
          <w:spacing w:val="-3"/>
          <w:sz w:val="28"/>
        </w:rPr>
      </w:pPr>
      <w:r>
        <w:rPr>
          <w:rFonts w:hint="eastAsia"/>
          <w:b/>
          <w:spacing w:val="-3"/>
          <w:sz w:val="28"/>
        </w:rPr>
        <w:t>（四）工作人员及志愿者须知</w:t>
      </w:r>
    </w:p>
    <w:p>
      <w:pPr>
        <w:tabs>
          <w:tab w:val="left" w:pos="1128"/>
        </w:tabs>
        <w:spacing w:line="360" w:lineRule="auto"/>
        <w:ind w:right="253"/>
        <w:jc w:val="both"/>
        <w:rPr>
          <w:spacing w:val="-3"/>
          <w:sz w:val="28"/>
        </w:rPr>
      </w:pPr>
      <w:r>
        <w:rPr>
          <w:spacing w:val="-3"/>
          <w:sz w:val="28"/>
        </w:rPr>
        <w:t xml:space="preserve">    1.</w:t>
      </w:r>
      <w:r>
        <w:rPr>
          <w:rFonts w:hint="eastAsia"/>
          <w:spacing w:val="-3"/>
          <w:sz w:val="28"/>
        </w:rPr>
        <w:t>工作人员及志愿者一律统一着装，佩戴证件进出赛场</w:t>
      </w:r>
    </w:p>
    <w:p>
      <w:pPr>
        <w:tabs>
          <w:tab w:val="left" w:pos="1128"/>
        </w:tabs>
        <w:spacing w:line="360" w:lineRule="auto"/>
        <w:ind w:right="253"/>
        <w:jc w:val="both"/>
        <w:rPr>
          <w:spacing w:val="-3"/>
          <w:sz w:val="28"/>
        </w:rPr>
      </w:pPr>
      <w:r>
        <w:rPr>
          <w:spacing w:val="-3"/>
          <w:sz w:val="28"/>
        </w:rPr>
        <w:t xml:space="preserve">    2.</w:t>
      </w:r>
      <w:r>
        <w:rPr>
          <w:rFonts w:hint="eastAsia"/>
          <w:spacing w:val="-3"/>
          <w:sz w:val="28"/>
        </w:rPr>
        <w:t>严守大赛岗位职责，听从赛项组委会办公室指挥调度。</w:t>
      </w:r>
    </w:p>
    <w:p>
      <w:pPr>
        <w:tabs>
          <w:tab w:val="left" w:pos="1128"/>
        </w:tabs>
        <w:spacing w:line="360" w:lineRule="auto"/>
        <w:ind w:right="253"/>
        <w:jc w:val="both"/>
        <w:rPr>
          <w:spacing w:val="-3"/>
          <w:sz w:val="28"/>
        </w:rPr>
      </w:pPr>
      <w:r>
        <w:rPr>
          <w:spacing w:val="-3"/>
          <w:sz w:val="28"/>
        </w:rPr>
        <w:t xml:space="preserve">    3.</w:t>
      </w:r>
      <w:r>
        <w:rPr>
          <w:rFonts w:hint="eastAsia"/>
          <w:spacing w:val="-3"/>
          <w:sz w:val="28"/>
        </w:rPr>
        <w:t>在执委会及下设工作机构负责人的领导下，以高度负责的精神、严肃认真的态度和严谨细致的作风做好工作。</w:t>
      </w:r>
    </w:p>
    <w:p>
      <w:pPr>
        <w:tabs>
          <w:tab w:val="left" w:pos="1128"/>
        </w:tabs>
        <w:spacing w:line="360" w:lineRule="auto"/>
        <w:ind w:right="253"/>
        <w:jc w:val="both"/>
        <w:rPr>
          <w:spacing w:val="-3"/>
          <w:sz w:val="28"/>
        </w:rPr>
      </w:pPr>
      <w:r>
        <w:rPr>
          <w:spacing w:val="-3"/>
          <w:sz w:val="28"/>
        </w:rPr>
        <w:t xml:space="preserve">    4.</w:t>
      </w:r>
      <w:r>
        <w:rPr>
          <w:rFonts w:hint="eastAsia"/>
          <w:spacing w:val="-3"/>
          <w:sz w:val="28"/>
        </w:rPr>
        <w:t>熟悉比赛的有关规定，认真执行比赛规则，严格按照工作程序办事。</w:t>
      </w:r>
    </w:p>
    <w:p>
      <w:pPr>
        <w:tabs>
          <w:tab w:val="left" w:pos="1128"/>
        </w:tabs>
        <w:spacing w:line="360" w:lineRule="auto"/>
        <w:ind w:right="253"/>
        <w:jc w:val="both"/>
        <w:rPr>
          <w:spacing w:val="-3"/>
          <w:sz w:val="28"/>
        </w:rPr>
      </w:pPr>
      <w:r>
        <w:rPr>
          <w:spacing w:val="-3"/>
          <w:sz w:val="28"/>
        </w:rPr>
        <w:t xml:space="preserve">    5.</w:t>
      </w:r>
      <w:r>
        <w:rPr>
          <w:rFonts w:hint="eastAsia"/>
          <w:spacing w:val="-3"/>
          <w:sz w:val="28"/>
        </w:rPr>
        <w:t>注意文明礼貌，保持良好形象，举止文明，态度和气，工作主动，服务热情。</w:t>
      </w:r>
    </w:p>
    <w:p>
      <w:pPr>
        <w:tabs>
          <w:tab w:val="left" w:pos="1128"/>
        </w:tabs>
        <w:spacing w:line="360" w:lineRule="auto"/>
        <w:ind w:right="253"/>
        <w:jc w:val="both"/>
        <w:rPr>
          <w:spacing w:val="-3"/>
          <w:sz w:val="28"/>
        </w:rPr>
      </w:pPr>
      <w:r>
        <w:rPr>
          <w:spacing w:val="-3"/>
          <w:sz w:val="28"/>
        </w:rPr>
        <w:t xml:space="preserve">    6.</w:t>
      </w:r>
      <w:r>
        <w:rPr>
          <w:rFonts w:hint="eastAsia"/>
          <w:spacing w:val="-3"/>
          <w:sz w:val="28"/>
        </w:rPr>
        <w:t>不相互打听、传递比赛情况。</w:t>
      </w:r>
    </w:p>
    <w:p>
      <w:pPr>
        <w:tabs>
          <w:tab w:val="left" w:pos="1128"/>
        </w:tabs>
        <w:spacing w:line="360" w:lineRule="auto"/>
        <w:ind w:right="253"/>
        <w:jc w:val="both"/>
        <w:rPr>
          <w:rFonts w:ascii="黑体" w:hAnsi="黑体" w:eastAsia="黑体"/>
          <w:spacing w:val="-3"/>
          <w:sz w:val="28"/>
        </w:rPr>
      </w:pPr>
      <w:r>
        <w:rPr>
          <w:rFonts w:hint="eastAsia" w:ascii="黑体" w:hAnsi="黑体" w:eastAsia="黑体"/>
          <w:spacing w:val="-3"/>
          <w:sz w:val="28"/>
        </w:rPr>
        <w:t>十四、申诉和仲裁</w:t>
      </w:r>
    </w:p>
    <w:p>
      <w:pPr>
        <w:pStyle w:val="4"/>
        <w:spacing w:before="54" w:line="360" w:lineRule="auto"/>
        <w:ind w:left="0" w:right="114"/>
      </w:pPr>
      <w:r>
        <w:t xml:space="preserve">    </w:t>
      </w:r>
      <w:r>
        <w:rPr>
          <w:rFonts w:hint="eastAsia"/>
        </w:rPr>
        <w:t>大赛采取二级仲裁机制。各赛项设赛项监督仲裁组，大赛执委会设仲裁委员会。各参赛队对不符合大赛和赛项规程规定的仪器、设备、工装、</w:t>
      </w:r>
      <w:r>
        <w:rPr>
          <w:rFonts w:hint="eastAsia"/>
          <w:spacing w:val="-5"/>
        </w:rPr>
        <w:t>材料、物件、计算机软硬件、竞赛使用工具、用品，竞赛执裁、赛场管理，</w:t>
      </w:r>
      <w:r>
        <w:rPr>
          <w:spacing w:val="-5"/>
        </w:rPr>
        <w:t xml:space="preserve"> </w:t>
      </w:r>
      <w:r>
        <w:rPr>
          <w:rFonts w:hint="eastAsia"/>
          <w:spacing w:val="-3"/>
        </w:rPr>
        <w:t>以及工作人员的不规范行为等，可向赛项监督仲裁组提出申诉。申诉主体</w:t>
      </w:r>
      <w:r>
        <w:rPr>
          <w:rFonts w:hint="eastAsia"/>
          <w:spacing w:val="-2"/>
        </w:rPr>
        <w:t>为参赛队领队。申诉启动时，领队向赛项监督仲裁组递交亲笔签字同意的</w:t>
      </w:r>
      <w:r>
        <w:rPr>
          <w:rFonts w:hint="eastAsia"/>
          <w:spacing w:val="-1"/>
        </w:rPr>
        <w:t>书面申诉报告。申诉报告应对申诉事件的现象、发生时间、涉及人员、申</w:t>
      </w:r>
      <w:r>
        <w:rPr>
          <w:rFonts w:hint="eastAsia"/>
          <w:spacing w:val="-3"/>
        </w:rPr>
        <w:t>诉依据等进行充分、实事求是的叙述。非书面申诉不予受理。</w:t>
      </w:r>
    </w:p>
    <w:p>
      <w:pPr>
        <w:pStyle w:val="4"/>
        <w:spacing w:line="360" w:lineRule="auto"/>
        <w:ind w:left="0" w:right="253"/>
        <w:jc w:val="both"/>
      </w:pPr>
      <w:r>
        <w:rPr>
          <w:spacing w:val="-7"/>
        </w:rPr>
        <w:t xml:space="preserve">    </w:t>
      </w:r>
      <w:r>
        <w:rPr>
          <w:rFonts w:hint="eastAsia"/>
          <w:spacing w:val="-7"/>
        </w:rPr>
        <w:t>提出申诉的时间应在竞赛结束后</w:t>
      </w:r>
      <w:r>
        <w:rPr>
          <w:rFonts w:hint="eastAsia"/>
          <w:spacing w:val="-3"/>
        </w:rPr>
        <w:t>（选手赛场竞赛内容全部完成</w:t>
      </w:r>
      <w:r>
        <w:rPr>
          <w:rFonts w:hint="eastAsia"/>
          <w:spacing w:val="-26"/>
        </w:rPr>
        <w:t>）</w:t>
      </w:r>
      <w:r>
        <w:rPr>
          <w:rFonts w:ascii="Times New Roman" w:eastAsia="Times New Roman"/>
          <w:spacing w:val="-26"/>
        </w:rPr>
        <w:t xml:space="preserve">2 </w:t>
      </w:r>
      <w:r>
        <w:rPr>
          <w:rFonts w:hint="eastAsia"/>
        </w:rPr>
        <w:t>小时</w:t>
      </w:r>
      <w:r>
        <w:rPr>
          <w:rFonts w:hint="eastAsia"/>
          <w:spacing w:val="-2"/>
        </w:rPr>
        <w:t>内，超过时效不予受理。赛项监督仲裁组在接到申诉报告后的</w:t>
      </w:r>
      <w:r>
        <w:rPr>
          <w:spacing w:val="-2"/>
        </w:rPr>
        <w:t xml:space="preserve"> </w:t>
      </w:r>
      <w:r>
        <w:rPr>
          <w:rFonts w:ascii="Times New Roman" w:eastAsia="Times New Roman"/>
        </w:rPr>
        <w:t xml:space="preserve">2 </w:t>
      </w:r>
      <w:r>
        <w:rPr>
          <w:rFonts w:hint="eastAsia"/>
        </w:rPr>
        <w:t>小时内组织复议，并及时将复议结果以书面形式告知申诉方。申诉方对复议结果仍有异议，可由市（高职院校）领队向仲裁委员会提出申诉。仲裁委员会的仲裁结果为最终结果。</w:t>
      </w:r>
    </w:p>
    <w:p>
      <w:pPr>
        <w:pStyle w:val="2"/>
        <w:spacing w:before="10" w:line="360" w:lineRule="auto"/>
        <w:rPr>
          <w:rFonts w:ascii="黑体" w:hAnsi="黑体" w:eastAsia="黑体" w:cs="宋体"/>
          <w:b w:val="0"/>
          <w:bCs w:val="0"/>
          <w:sz w:val="28"/>
          <w:szCs w:val="28"/>
        </w:rPr>
      </w:pPr>
      <w:r>
        <w:rPr>
          <w:rFonts w:hint="eastAsia" w:ascii="黑体" w:hAnsi="黑体" w:eastAsia="黑体" w:cs="宋体"/>
          <w:b w:val="0"/>
          <w:bCs w:val="0"/>
          <w:sz w:val="28"/>
          <w:szCs w:val="28"/>
        </w:rPr>
        <w:t>十五、竞赛观摩</w:t>
      </w:r>
    </w:p>
    <w:p>
      <w:pPr>
        <w:pStyle w:val="4"/>
        <w:spacing w:before="54" w:line="360" w:lineRule="auto"/>
        <w:ind w:left="0" w:right="253"/>
        <w:jc w:val="both"/>
      </w:pPr>
      <w:r>
        <w:t xml:space="preserve">    </w:t>
      </w:r>
      <w:r>
        <w:rPr>
          <w:rFonts w:hint="eastAsia"/>
        </w:rPr>
        <w:t>为贯彻公开、公平、公正的比赛原则，本赛项特别设置现场观摩。在不干扰竞赛正常进行的前提下，嘉宾、观摩团队等各界人员在指定时间，</w:t>
      </w:r>
      <w:r>
        <w:t xml:space="preserve"> </w:t>
      </w:r>
      <w:r>
        <w:rPr>
          <w:rFonts w:hint="eastAsia"/>
        </w:rPr>
        <w:t>由专人引导进入现场观摩，沿指定路线、在指定区域内现场观赛。各观摩人员需按照工作人员的指引参加观摩。</w:t>
      </w:r>
    </w:p>
    <w:p>
      <w:pPr>
        <w:pStyle w:val="4"/>
        <w:spacing w:line="360" w:lineRule="auto"/>
        <w:ind w:left="0" w:right="253"/>
        <w:jc w:val="both"/>
      </w:pPr>
      <w:r>
        <w:t xml:space="preserve">    </w:t>
      </w:r>
      <w:r>
        <w:rPr>
          <w:rFonts w:hint="eastAsia"/>
        </w:rPr>
        <w:t>观摩比赛时各观摩人员应严格遵守各项观摩纪律，观摩人员须按指定路线进入现场观摩，不得随意走动、大声喧哗，比赛过程中不允许摄像，</w:t>
      </w:r>
      <w:r>
        <w:t xml:space="preserve"> </w:t>
      </w:r>
      <w:r>
        <w:rPr>
          <w:rFonts w:hint="eastAsia"/>
        </w:rPr>
        <w:t>并服从现场工作人员安排；不得发表不雅评论或在评论中透露竞赛院校信息。</w:t>
      </w:r>
    </w:p>
    <w:p>
      <w:pPr>
        <w:pStyle w:val="2"/>
        <w:adjustRightInd w:val="0"/>
        <w:snapToGrid w:val="0"/>
        <w:spacing w:before="204" w:line="360" w:lineRule="auto"/>
        <w:ind w:left="0"/>
        <w:rPr>
          <w:rFonts w:ascii="黑体" w:hAnsi="黑体" w:eastAsia="黑体" w:cs="宋体"/>
          <w:b w:val="0"/>
          <w:bCs w:val="0"/>
          <w:sz w:val="28"/>
          <w:szCs w:val="28"/>
        </w:rPr>
      </w:pPr>
      <w:r>
        <w:rPr>
          <w:rFonts w:hint="eastAsia" w:ascii="黑体" w:hAnsi="黑体" w:eastAsia="黑体" w:cs="宋体"/>
          <w:b w:val="0"/>
          <w:bCs w:val="0"/>
          <w:sz w:val="28"/>
          <w:szCs w:val="28"/>
        </w:rPr>
        <w:t>十六、竞赛样卷</w:t>
      </w:r>
    </w:p>
    <w:p>
      <w:pPr>
        <w:pStyle w:val="2"/>
        <w:adjustRightInd w:val="0"/>
        <w:snapToGrid w:val="0"/>
        <w:spacing w:before="204" w:line="360" w:lineRule="auto"/>
        <w:ind w:left="0" w:firstLine="600" w:firstLineChars="200"/>
        <w:rPr>
          <w:rFonts w:ascii="黑体" w:hAnsi="黑体" w:eastAsia="黑体" w:cs="宋体"/>
          <w:b w:val="0"/>
          <w:bCs w:val="0"/>
          <w:sz w:val="28"/>
          <w:szCs w:val="28"/>
        </w:rPr>
      </w:pPr>
      <w:r>
        <w:rPr>
          <w:rFonts w:hint="eastAsia" w:ascii="黑体" w:hAnsi="黑体" w:eastAsia="黑体"/>
          <w:b w:val="0"/>
        </w:rPr>
        <w:t>（一）农药残留检测项目</w:t>
      </w:r>
    </w:p>
    <w:p>
      <w:pPr>
        <w:pStyle w:val="4"/>
        <w:adjustRightInd w:val="0"/>
        <w:snapToGrid w:val="0"/>
        <w:spacing w:before="203" w:line="360" w:lineRule="auto"/>
        <w:ind w:left="0" w:right="255"/>
      </w:pPr>
      <w:r>
        <w:t xml:space="preserve">    </w:t>
      </w:r>
      <w:r>
        <w:rPr>
          <w:rFonts w:hint="eastAsia"/>
        </w:rPr>
        <w:t>该项目主要分为样品前处理、数据处理和气相三维虚拟仿真操作</w:t>
      </w:r>
      <w:r>
        <w:t xml:space="preserve"> 3 </w:t>
      </w:r>
      <w:r>
        <w:rPr>
          <w:rFonts w:hint="eastAsia"/>
        </w:rPr>
        <w:t>个竞赛环节。</w:t>
      </w:r>
    </w:p>
    <w:p>
      <w:pPr>
        <w:pStyle w:val="4"/>
        <w:adjustRightInd w:val="0"/>
        <w:snapToGrid w:val="0"/>
        <w:spacing w:line="360" w:lineRule="auto"/>
        <w:ind w:left="720" w:right="253"/>
        <w:jc w:val="both"/>
      </w:pPr>
      <w:r>
        <w:t>1.</w:t>
      </w:r>
      <w:r>
        <w:rPr>
          <w:rFonts w:hint="eastAsia"/>
        </w:rPr>
        <w:t>样品前处理</w:t>
      </w:r>
    </w:p>
    <w:p>
      <w:pPr>
        <w:pStyle w:val="4"/>
        <w:adjustRightInd w:val="0"/>
        <w:snapToGrid w:val="0"/>
        <w:spacing w:line="360" w:lineRule="auto"/>
        <w:ind w:left="0" w:right="253" w:firstLine="560"/>
        <w:jc w:val="both"/>
      </w:pPr>
      <w:r>
        <w:rPr>
          <w:rFonts w:hint="eastAsia"/>
        </w:rPr>
        <w:t>考虑到竞赛的时间要求以及公平公正的大赛原则，本项目操作规程在参照</w:t>
      </w:r>
      <w:r>
        <w:t xml:space="preserve">NY/T 761-2008 </w:t>
      </w:r>
      <w:r>
        <w:rPr>
          <w:rFonts w:hint="eastAsia"/>
        </w:rPr>
        <w:t>《蔬菜和水果中有机磷、有机氯、拟除虫菊酯和氨基甲酸酯类农药多残留的测定》基础上略有改动。</w:t>
      </w:r>
    </w:p>
    <w:p>
      <w:pPr>
        <w:pStyle w:val="4"/>
        <w:adjustRightInd w:val="0"/>
        <w:snapToGrid w:val="0"/>
        <w:spacing w:line="360" w:lineRule="auto"/>
        <w:ind w:left="0" w:right="253" w:firstLine="560"/>
        <w:jc w:val="both"/>
      </w:pPr>
      <w:r>
        <w:rPr>
          <w:rFonts w:hint="eastAsia"/>
        </w:rPr>
        <w:t>操作规程中由组委会统一准备空白样品，每位选手做两个平行加标样品（所有样品中加标样的操作由一名裁判使用一把移液器、一份标准溶液来统一完成）。承办院校为每个选手提供的玻璃器皿均洁净干燥，无需洗涤。</w:t>
      </w:r>
    </w:p>
    <w:p>
      <w:pPr>
        <w:pStyle w:val="4"/>
        <w:numPr>
          <w:ilvl w:val="0"/>
          <w:numId w:val="2"/>
        </w:numPr>
        <w:adjustRightInd w:val="0"/>
        <w:snapToGrid w:val="0"/>
        <w:spacing w:line="360" w:lineRule="auto"/>
        <w:ind w:right="253"/>
        <w:jc w:val="both"/>
      </w:pPr>
      <w:r>
        <w:rPr>
          <w:rFonts w:hint="eastAsia"/>
        </w:rPr>
        <w:t>制样</w:t>
      </w:r>
    </w:p>
    <w:p>
      <w:pPr>
        <w:pStyle w:val="4"/>
        <w:spacing w:before="201" w:line="360" w:lineRule="auto"/>
        <w:ind w:left="0"/>
      </w:pPr>
      <w:r>
        <w:t xml:space="preserve">    </w:t>
      </w:r>
      <w:r>
        <w:rPr>
          <w:rFonts w:hint="eastAsia"/>
        </w:rPr>
        <w:t>黄瓜两根去皮，切小块，放入搅拌机中，打浆。</w:t>
      </w:r>
    </w:p>
    <w:p>
      <w:pPr>
        <w:pStyle w:val="4"/>
        <w:numPr>
          <w:ilvl w:val="0"/>
          <w:numId w:val="2"/>
        </w:numPr>
        <w:spacing w:before="201" w:line="360" w:lineRule="auto"/>
      </w:pPr>
      <w:r>
        <w:rPr>
          <w:rFonts w:hint="eastAsia"/>
        </w:rPr>
        <w:t>样品提取</w:t>
      </w:r>
    </w:p>
    <w:p>
      <w:pPr>
        <w:pStyle w:val="4"/>
        <w:spacing w:before="201" w:line="360" w:lineRule="auto"/>
      </w:pPr>
      <w:r>
        <w:t xml:space="preserve">    </w:t>
      </w:r>
      <w:r>
        <w:rPr>
          <w:rFonts w:hint="eastAsia"/>
        </w:rPr>
        <w:t>准确称取</w:t>
      </w:r>
      <w:r>
        <w:t>10.00</w:t>
      </w:r>
      <w:r>
        <w:rPr>
          <w:rFonts w:hint="eastAsia"/>
        </w:rPr>
        <w:t>±</w:t>
      </w:r>
      <w:r>
        <w:t>0.1</w:t>
      </w:r>
      <w:r>
        <w:rPr>
          <w:rFonts w:hint="eastAsia"/>
        </w:rPr>
        <w:t>克黄瓜匀浆样品两份，分别置于</w:t>
      </w:r>
      <w:r>
        <w:t>50mL</w:t>
      </w:r>
      <w:r>
        <w:rPr>
          <w:rFonts w:hint="eastAsia"/>
        </w:rPr>
        <w:t>离心管中，由指定裁判加入标准溶液</w:t>
      </w:r>
      <w:r>
        <w:t xml:space="preserve"> 100µL</w:t>
      </w:r>
      <w:r>
        <w:rPr>
          <w:rFonts w:hint="eastAsia"/>
        </w:rPr>
        <w:t>，用胖肚吸管精密移取</w:t>
      </w:r>
      <w:r>
        <w:t>20.00mL</w:t>
      </w:r>
      <w:r>
        <w:rPr>
          <w:rFonts w:hint="eastAsia"/>
        </w:rPr>
        <w:t>乙腈，于旋涡振荡器上涡旋提取</w:t>
      </w:r>
      <w:r>
        <w:t xml:space="preserve">2min </w:t>
      </w:r>
      <w:r>
        <w:rPr>
          <w:rFonts w:hint="eastAsia"/>
        </w:rPr>
        <w:t>后，过滤，滤液收集到装有</w:t>
      </w:r>
      <w:r>
        <w:t>2g</w:t>
      </w:r>
      <w:r>
        <w:rPr>
          <w:rFonts w:hint="eastAsia"/>
        </w:rPr>
        <w:t>～</w:t>
      </w:r>
      <w:r>
        <w:t xml:space="preserve">3g </w:t>
      </w:r>
      <w:r>
        <w:rPr>
          <w:rFonts w:hint="eastAsia"/>
        </w:rPr>
        <w:t>氯化钠的</w:t>
      </w:r>
      <w:r>
        <w:t>50mL</w:t>
      </w:r>
      <w:r>
        <w:rPr>
          <w:rFonts w:hint="eastAsia"/>
        </w:rPr>
        <w:t>具塞量筒中，收集滤液</w:t>
      </w:r>
      <w:r>
        <w:t xml:space="preserve"> 20mL</w:t>
      </w:r>
      <w:r>
        <w:rPr>
          <w:rFonts w:hint="eastAsia"/>
        </w:rPr>
        <w:t>左右，盖上塞子，剧烈震荡</w:t>
      </w:r>
      <w:r>
        <w:t>1min</w:t>
      </w:r>
      <w:r>
        <w:rPr>
          <w:rFonts w:hint="eastAsia"/>
        </w:rPr>
        <w:t>，在室温下静置</w:t>
      </w:r>
      <w:r>
        <w:t>30min</w:t>
      </w:r>
      <w:r>
        <w:rPr>
          <w:rFonts w:hint="eastAsia"/>
        </w:rPr>
        <w:t>，使乙腈相和水相分层。</w:t>
      </w:r>
    </w:p>
    <w:p>
      <w:pPr>
        <w:pStyle w:val="10"/>
        <w:tabs>
          <w:tab w:val="left" w:pos="1620"/>
        </w:tabs>
        <w:spacing w:before="3" w:line="360" w:lineRule="auto"/>
        <w:ind w:left="560" w:firstLine="0"/>
        <w:rPr>
          <w:sz w:val="28"/>
          <w:szCs w:val="28"/>
        </w:rPr>
      </w:pPr>
      <w:r>
        <w:rPr>
          <w:rFonts w:hint="eastAsia"/>
          <w:sz w:val="28"/>
          <w:szCs w:val="28"/>
        </w:rPr>
        <w:t>（</w:t>
      </w:r>
      <w:r>
        <w:rPr>
          <w:sz w:val="28"/>
          <w:szCs w:val="28"/>
        </w:rPr>
        <w:t>3</w:t>
      </w:r>
      <w:r>
        <w:rPr>
          <w:rFonts w:hint="eastAsia"/>
          <w:sz w:val="28"/>
          <w:szCs w:val="28"/>
        </w:rPr>
        <w:t>）净化</w:t>
      </w:r>
    </w:p>
    <w:p>
      <w:pPr>
        <w:tabs>
          <w:tab w:val="left" w:pos="1620"/>
        </w:tabs>
        <w:spacing w:before="3" w:line="360" w:lineRule="auto"/>
        <w:rPr>
          <w:sz w:val="28"/>
          <w:szCs w:val="28"/>
        </w:rPr>
      </w:pPr>
      <w:r>
        <w:rPr>
          <w:sz w:val="28"/>
          <w:szCs w:val="28"/>
        </w:rPr>
        <w:t xml:space="preserve">    </w:t>
      </w:r>
      <w:r>
        <w:rPr>
          <w:rFonts w:hint="eastAsia"/>
          <w:sz w:val="28"/>
          <w:szCs w:val="28"/>
        </w:rPr>
        <w:t>用吸量管从具塞量筒中移取</w:t>
      </w:r>
      <w:r>
        <w:rPr>
          <w:sz w:val="28"/>
          <w:szCs w:val="28"/>
        </w:rPr>
        <w:t xml:space="preserve">4.00mL </w:t>
      </w:r>
      <w:r>
        <w:rPr>
          <w:rFonts w:hint="eastAsia"/>
          <w:sz w:val="28"/>
          <w:szCs w:val="28"/>
        </w:rPr>
        <w:t>乙腈相溶液于</w:t>
      </w:r>
      <w:r>
        <w:rPr>
          <w:sz w:val="28"/>
          <w:szCs w:val="28"/>
        </w:rPr>
        <w:t>10mL</w:t>
      </w:r>
      <w:r>
        <w:rPr>
          <w:rFonts w:hint="eastAsia"/>
          <w:sz w:val="28"/>
          <w:szCs w:val="28"/>
        </w:rPr>
        <w:t>刻度试管中，</w:t>
      </w:r>
      <w:r>
        <w:rPr>
          <w:sz w:val="28"/>
          <w:szCs w:val="28"/>
        </w:rPr>
        <w:t xml:space="preserve"> </w:t>
      </w:r>
      <w:r>
        <w:rPr>
          <w:rFonts w:hint="eastAsia"/>
          <w:sz w:val="28"/>
          <w:szCs w:val="28"/>
        </w:rPr>
        <w:t>将其置于氮吹仪中，温度设为</w:t>
      </w:r>
      <w:r>
        <w:rPr>
          <w:sz w:val="28"/>
          <w:szCs w:val="28"/>
        </w:rPr>
        <w:t>75</w:t>
      </w:r>
      <w:r>
        <w:rPr>
          <w:rFonts w:hint="eastAsia"/>
          <w:sz w:val="28"/>
          <w:szCs w:val="28"/>
        </w:rPr>
        <w:t>℃，缓缓通入氮气，浓缩至近干，用吸量管移入</w:t>
      </w:r>
      <w:r>
        <w:rPr>
          <w:sz w:val="28"/>
          <w:szCs w:val="28"/>
        </w:rPr>
        <w:t xml:space="preserve">2.00mL </w:t>
      </w:r>
      <w:r>
        <w:rPr>
          <w:rFonts w:hint="eastAsia"/>
          <w:sz w:val="28"/>
          <w:szCs w:val="28"/>
        </w:rPr>
        <w:t>丙酮，在旋涡混合器上混匀，用</w:t>
      </w:r>
      <w:r>
        <w:rPr>
          <w:sz w:val="28"/>
          <w:szCs w:val="28"/>
        </w:rPr>
        <w:t>0.2</w:t>
      </w:r>
      <w:r>
        <w:t>µ</w:t>
      </w:r>
      <w:r>
        <w:rPr>
          <w:sz w:val="28"/>
          <w:szCs w:val="28"/>
        </w:rPr>
        <w:t>m</w:t>
      </w:r>
      <w:r>
        <w:rPr>
          <w:rFonts w:hint="eastAsia"/>
          <w:sz w:val="28"/>
          <w:szCs w:val="28"/>
        </w:rPr>
        <w:t>滤膜过滤后，分别移入至自动进样器进样瓶中，做好标记，供色谱测定。</w:t>
      </w:r>
    </w:p>
    <w:p>
      <w:pPr>
        <w:tabs>
          <w:tab w:val="left" w:pos="1620"/>
        </w:tabs>
        <w:adjustRightInd w:val="0"/>
        <w:snapToGrid w:val="0"/>
        <w:spacing w:before="3" w:line="360" w:lineRule="auto"/>
        <w:ind w:firstLine="560"/>
        <w:rPr>
          <w:sz w:val="28"/>
          <w:szCs w:val="28"/>
        </w:rPr>
      </w:pPr>
      <w:r>
        <w:rPr>
          <w:sz w:val="28"/>
          <w:szCs w:val="28"/>
        </w:rPr>
        <w:t>2.</w:t>
      </w:r>
      <w:r>
        <w:rPr>
          <w:rFonts w:hint="eastAsia"/>
          <w:sz w:val="28"/>
          <w:szCs w:val="28"/>
        </w:rPr>
        <w:t>数据处理</w:t>
      </w:r>
    </w:p>
    <w:p>
      <w:pPr>
        <w:tabs>
          <w:tab w:val="left" w:pos="1620"/>
        </w:tabs>
        <w:adjustRightInd w:val="0"/>
        <w:snapToGrid w:val="0"/>
        <w:spacing w:before="3" w:line="360" w:lineRule="auto"/>
        <w:ind w:firstLine="560"/>
        <w:rPr>
          <w:sz w:val="28"/>
          <w:szCs w:val="28"/>
        </w:rPr>
      </w:pPr>
      <w:r>
        <w:rPr>
          <w:rFonts w:hint="eastAsia"/>
          <w:sz w:val="28"/>
          <w:szCs w:val="28"/>
        </w:rPr>
        <w:t>数据处理时，提供统一打印图谱。质量分数按照赛场下发的操作规程里给定公式计算，平均值保留三位有效数字；准确度（用回收率η表征）以两份平行加标样品中待测组分的绝对质量来计算，结果保留小数点后</w:t>
      </w:r>
      <w:r>
        <w:rPr>
          <w:sz w:val="28"/>
          <w:szCs w:val="28"/>
        </w:rPr>
        <w:t>2</w:t>
      </w:r>
      <w:r>
        <w:rPr>
          <w:rFonts w:hint="eastAsia"/>
          <w:sz w:val="28"/>
          <w:szCs w:val="28"/>
        </w:rPr>
        <w:t>位；精密度（用重复性限</w:t>
      </w:r>
      <w:r>
        <w:rPr>
          <w:sz w:val="28"/>
          <w:szCs w:val="28"/>
        </w:rPr>
        <w:t>r</w:t>
      </w:r>
      <w:r>
        <w:rPr>
          <w:rFonts w:hint="eastAsia"/>
          <w:sz w:val="28"/>
          <w:szCs w:val="28"/>
        </w:rPr>
        <w:t>表征）以两份平行加标样品中待测组分的质量分数来计算，结果保留小数点后</w:t>
      </w:r>
      <w:r>
        <w:rPr>
          <w:sz w:val="28"/>
          <w:szCs w:val="28"/>
        </w:rPr>
        <w:t>2</w:t>
      </w:r>
      <w:r>
        <w:rPr>
          <w:rFonts w:hint="eastAsia"/>
          <w:sz w:val="28"/>
          <w:szCs w:val="28"/>
        </w:rPr>
        <w:t>位。</w:t>
      </w:r>
    </w:p>
    <w:p>
      <w:pPr>
        <w:tabs>
          <w:tab w:val="left" w:pos="1620"/>
        </w:tabs>
        <w:adjustRightInd w:val="0"/>
        <w:snapToGrid w:val="0"/>
        <w:spacing w:before="3" w:line="360" w:lineRule="auto"/>
        <w:ind w:firstLine="560"/>
        <w:rPr>
          <w:sz w:val="28"/>
          <w:szCs w:val="28"/>
        </w:rPr>
      </w:pPr>
      <w:r>
        <w:rPr>
          <w:sz w:val="28"/>
          <w:szCs w:val="28"/>
        </w:rPr>
        <w:t>3.</w:t>
      </w:r>
      <w:r>
        <w:rPr>
          <w:rFonts w:hint="eastAsia"/>
          <w:sz w:val="28"/>
          <w:szCs w:val="28"/>
        </w:rPr>
        <w:t>气相三维虚拟仿真操作</w:t>
      </w:r>
    </w:p>
    <w:p>
      <w:pPr>
        <w:tabs>
          <w:tab w:val="left" w:pos="1620"/>
        </w:tabs>
        <w:adjustRightInd w:val="0"/>
        <w:snapToGrid w:val="0"/>
        <w:spacing w:before="3" w:line="360" w:lineRule="auto"/>
        <w:ind w:firstLine="560"/>
      </w:pPr>
      <w:r>
        <w:rPr>
          <w:rFonts w:hint="eastAsia"/>
          <w:sz w:val="28"/>
          <w:szCs w:val="28"/>
        </w:rPr>
        <w:t>离线色谱工作站主要考核学生在三维虚拟仿真软件中能够正确配制标准溶液；建立检测方法包括进样口、检测器、色谱柱温度设置，气体流量等设置；设置样品信息并进样；建立标准曲线，对未知样品进行定性和定量分析。</w:t>
      </w:r>
    </w:p>
    <w:p>
      <w:pPr>
        <w:pStyle w:val="4"/>
        <w:spacing w:line="360" w:lineRule="auto"/>
        <w:ind w:left="0" w:firstLine="560"/>
        <w:rPr>
          <w:b/>
        </w:rPr>
      </w:pPr>
      <w:r>
        <w:rPr>
          <w:rFonts w:hint="eastAsia"/>
          <w:b/>
        </w:rPr>
        <w:t>（二）重金属污染物检测项目</w:t>
      </w:r>
    </w:p>
    <w:p>
      <w:pPr>
        <w:pStyle w:val="4"/>
        <w:spacing w:line="360" w:lineRule="auto"/>
        <w:ind w:left="0"/>
      </w:pPr>
      <w:r>
        <w:t xml:space="preserve">    </w:t>
      </w:r>
      <w:r>
        <w:rPr>
          <w:rFonts w:hint="eastAsia"/>
        </w:rPr>
        <w:t>该项目主要分为样品预处理、上机测量和数据处理</w:t>
      </w:r>
      <w:r>
        <w:t>3</w:t>
      </w:r>
      <w:r>
        <w:rPr>
          <w:rFonts w:hint="eastAsia"/>
        </w:rPr>
        <w:t>个竞赛环节。</w:t>
      </w:r>
    </w:p>
    <w:p>
      <w:pPr>
        <w:pStyle w:val="4"/>
        <w:numPr>
          <w:ilvl w:val="0"/>
          <w:numId w:val="3"/>
        </w:numPr>
        <w:spacing w:before="203" w:line="360" w:lineRule="auto"/>
      </w:pPr>
      <w:r>
        <w:rPr>
          <w:rFonts w:hint="eastAsia"/>
        </w:rPr>
        <w:t>样品预处理</w:t>
      </w:r>
    </w:p>
    <w:p>
      <w:pPr>
        <w:pStyle w:val="4"/>
        <w:spacing w:before="203" w:line="360" w:lineRule="auto"/>
        <w:ind w:left="0"/>
      </w:pPr>
      <w:r>
        <w:t xml:space="preserve">    </w:t>
      </w:r>
      <w:r>
        <w:rPr>
          <w:rFonts w:hint="eastAsia"/>
        </w:rPr>
        <w:t>组委会为本赛项提供的玻璃器皿均洁净干燥，无需洗涤。</w:t>
      </w:r>
    </w:p>
    <w:p>
      <w:pPr>
        <w:pStyle w:val="4"/>
        <w:numPr>
          <w:ilvl w:val="0"/>
          <w:numId w:val="4"/>
        </w:numPr>
        <w:spacing w:before="201" w:line="360" w:lineRule="auto"/>
      </w:pPr>
      <w:r>
        <w:rPr>
          <w:rFonts w:hint="eastAsia"/>
        </w:rPr>
        <w:t>样品称量</w:t>
      </w:r>
    </w:p>
    <w:p>
      <w:pPr>
        <w:pStyle w:val="4"/>
        <w:spacing w:before="201" w:line="360" w:lineRule="auto"/>
        <w:ind w:left="0"/>
      </w:pPr>
      <w:r>
        <w:t xml:space="preserve">    </w:t>
      </w:r>
      <w:r>
        <w:rPr>
          <w:rFonts w:hint="eastAsia"/>
        </w:rPr>
        <w:t>本项目拟采用湿法消化，采用合适称量方法和相应称量器皿称取样品</w:t>
      </w:r>
      <w:r>
        <w:t>1</w:t>
      </w:r>
      <w:r>
        <w:rPr>
          <w:rFonts w:hint="eastAsia"/>
        </w:rPr>
        <w:t>～</w:t>
      </w:r>
      <w:r>
        <w:t>3g</w:t>
      </w:r>
      <w:r>
        <w:rPr>
          <w:rFonts w:hint="eastAsia"/>
        </w:rPr>
        <w:t>。</w:t>
      </w:r>
    </w:p>
    <w:p>
      <w:pPr>
        <w:pStyle w:val="4"/>
        <w:numPr>
          <w:ilvl w:val="0"/>
          <w:numId w:val="4"/>
        </w:numPr>
        <w:spacing w:before="201" w:line="360" w:lineRule="auto"/>
      </w:pPr>
      <w:r>
        <w:rPr>
          <w:rFonts w:hint="eastAsia"/>
        </w:rPr>
        <w:t>试样准备</w:t>
      </w:r>
    </w:p>
    <w:p>
      <w:pPr>
        <w:pStyle w:val="4"/>
        <w:spacing w:before="201" w:line="360" w:lineRule="auto"/>
        <w:ind w:left="0" w:firstLine="560"/>
      </w:pPr>
      <w:r>
        <w:rPr>
          <w:rFonts w:hint="eastAsia"/>
        </w:rPr>
        <w:t>消化液和试剂空白溶液由组委会提前制备提供，每个选手</w:t>
      </w:r>
      <w:r>
        <w:t>2</w:t>
      </w:r>
      <w:r>
        <w:rPr>
          <w:rFonts w:hint="eastAsia"/>
        </w:rPr>
        <w:t>份消化液和</w:t>
      </w:r>
      <w:r>
        <w:t>1</w:t>
      </w:r>
      <w:r>
        <w:rPr>
          <w:rFonts w:hint="eastAsia"/>
        </w:rPr>
        <w:t>份试剂空白溶液，</w:t>
      </w:r>
      <w:r>
        <w:t>1</w:t>
      </w:r>
      <w:r>
        <w:rPr>
          <w:rFonts w:hint="eastAsia"/>
        </w:rPr>
        <w:t>号消化液和</w:t>
      </w:r>
      <w:r>
        <w:t>2</w:t>
      </w:r>
      <w:r>
        <w:rPr>
          <w:rFonts w:hint="eastAsia"/>
        </w:rPr>
        <w:t>号消化液作为考核样，消化液的浓度在</w:t>
      </w:r>
      <w:r>
        <w:t>1</w:t>
      </w:r>
      <w:r>
        <w:rPr>
          <w:rFonts w:hint="eastAsia"/>
        </w:rPr>
        <w:t>～</w:t>
      </w:r>
      <w:r>
        <w:t xml:space="preserve">5 </w:t>
      </w:r>
      <w:r>
        <w:rPr>
          <w:rFonts w:hint="eastAsia"/>
        </w:rPr>
        <w:t>μ</w:t>
      </w:r>
      <w:r>
        <w:t>g/mL</w:t>
      </w:r>
      <w:r>
        <w:rPr>
          <w:rFonts w:hint="eastAsia"/>
        </w:rPr>
        <w:t>范围内。</w:t>
      </w:r>
    </w:p>
    <w:p>
      <w:pPr>
        <w:pStyle w:val="4"/>
        <w:numPr>
          <w:ilvl w:val="0"/>
          <w:numId w:val="4"/>
        </w:numPr>
        <w:spacing w:before="201" w:line="360" w:lineRule="auto"/>
      </w:pPr>
      <w:r>
        <w:rPr>
          <w:rFonts w:hint="eastAsia"/>
        </w:rPr>
        <w:t>萃取分离</w:t>
      </w:r>
    </w:p>
    <w:p>
      <w:pPr>
        <w:pStyle w:val="4"/>
        <w:spacing w:before="201" w:line="360" w:lineRule="auto"/>
        <w:ind w:left="0"/>
      </w:pPr>
      <w:r>
        <w:t xml:space="preserve">    </w:t>
      </w:r>
      <w:r>
        <w:rPr>
          <w:rFonts w:hint="eastAsia"/>
        </w:rPr>
        <w:t>吸取</w:t>
      </w:r>
      <w:r>
        <w:t>1</w:t>
      </w:r>
      <w:r>
        <w:rPr>
          <w:rFonts w:hint="eastAsia"/>
        </w:rPr>
        <w:t>号消化液、</w:t>
      </w:r>
      <w:r>
        <w:t>2</w:t>
      </w:r>
      <w:r>
        <w:rPr>
          <w:rFonts w:hint="eastAsia"/>
        </w:rPr>
        <w:t>号消化液和试剂空白溶液各</w:t>
      </w:r>
      <w:r>
        <w:t>10.00ml</w:t>
      </w:r>
      <w:r>
        <w:rPr>
          <w:rFonts w:hint="eastAsia"/>
        </w:rPr>
        <w:t>，分别置于</w:t>
      </w:r>
      <w:r>
        <w:t>125mL</w:t>
      </w:r>
      <w:r>
        <w:rPr>
          <w:rFonts w:hint="eastAsia"/>
        </w:rPr>
        <w:t>分液漏斗中，补加水至</w:t>
      </w:r>
      <w:r>
        <w:t>60mL</w:t>
      </w:r>
      <w:r>
        <w:rPr>
          <w:rFonts w:hint="eastAsia"/>
        </w:rPr>
        <w:t>。</w:t>
      </w:r>
    </w:p>
    <w:p>
      <w:pPr>
        <w:pStyle w:val="4"/>
        <w:spacing w:before="201" w:line="360" w:lineRule="auto"/>
        <w:ind w:left="0" w:firstLine="560"/>
      </w:pPr>
      <w:r>
        <w:rPr>
          <w:rFonts w:hint="eastAsia"/>
        </w:rPr>
        <w:t>加</w:t>
      </w:r>
      <w:r>
        <w:t>2mL</w:t>
      </w:r>
      <w:r>
        <w:rPr>
          <w:rFonts w:hint="eastAsia"/>
        </w:rPr>
        <w:t>柠檬酸铵溶液，溴百里酚蓝水溶液</w:t>
      </w:r>
      <w:r>
        <w:t>3</w:t>
      </w:r>
      <w:r>
        <w:rPr>
          <w:rFonts w:hint="eastAsia"/>
        </w:rPr>
        <w:t>～</w:t>
      </w:r>
      <w:r>
        <w:t>5</w:t>
      </w:r>
      <w:r>
        <w:rPr>
          <w:rFonts w:hint="eastAsia"/>
        </w:rPr>
        <w:t>滴，用氨水调</w:t>
      </w:r>
      <w:r>
        <w:t xml:space="preserve">pH </w:t>
      </w:r>
      <w:r>
        <w:rPr>
          <w:rFonts w:hint="eastAsia"/>
        </w:rPr>
        <w:t>至溶液由黄变蓝，加硫酸铵溶液</w:t>
      </w:r>
      <w:r>
        <w:t>10.00mL</w:t>
      </w:r>
      <w:r>
        <w:rPr>
          <w:rFonts w:hint="eastAsia"/>
        </w:rPr>
        <w:t>，</w:t>
      </w:r>
      <w:r>
        <w:t xml:space="preserve">DDTC </w:t>
      </w:r>
      <w:r>
        <w:rPr>
          <w:rFonts w:hint="eastAsia"/>
        </w:rPr>
        <w:t>溶液</w:t>
      </w:r>
      <w:r>
        <w:t>10mL</w:t>
      </w:r>
      <w:r>
        <w:rPr>
          <w:rFonts w:hint="eastAsia"/>
        </w:rPr>
        <w:t>，摇匀。</w:t>
      </w:r>
    </w:p>
    <w:p>
      <w:pPr>
        <w:pStyle w:val="4"/>
        <w:spacing w:before="201" w:line="360" w:lineRule="auto"/>
        <w:ind w:left="0" w:firstLine="560"/>
      </w:pPr>
      <w:r>
        <w:rPr>
          <w:rFonts w:hint="eastAsia"/>
        </w:rPr>
        <w:t>放置</w:t>
      </w:r>
      <w:r>
        <w:t>5min</w:t>
      </w:r>
      <w:r>
        <w:rPr>
          <w:rFonts w:hint="eastAsia"/>
        </w:rPr>
        <w:t>左右，加入</w:t>
      </w:r>
      <w:r>
        <w:t>10.00mLMIBK</w:t>
      </w:r>
      <w:r>
        <w:rPr>
          <w:rFonts w:hint="eastAsia"/>
        </w:rPr>
        <w:t>，剧烈震摇提取</w:t>
      </w:r>
      <w:r>
        <w:t>1min</w:t>
      </w:r>
      <w:r>
        <w:rPr>
          <w:rFonts w:hint="eastAsia"/>
        </w:rPr>
        <w:t>，静置分层后，弃去水层，将</w:t>
      </w:r>
      <w:r>
        <w:t>MIBK</w:t>
      </w:r>
      <w:r>
        <w:rPr>
          <w:rFonts w:hint="eastAsia"/>
        </w:rPr>
        <w:t>层放入</w:t>
      </w:r>
      <w:r>
        <w:t>10mL</w:t>
      </w:r>
      <w:r>
        <w:rPr>
          <w:rFonts w:hint="eastAsia"/>
        </w:rPr>
        <w:t>带塞刻度管中，备用。</w:t>
      </w:r>
    </w:p>
    <w:p>
      <w:pPr>
        <w:pStyle w:val="4"/>
        <w:spacing w:before="201" w:line="360" w:lineRule="auto"/>
        <w:ind w:left="0"/>
      </w:pPr>
      <w:r>
        <w:t xml:space="preserve">    </w:t>
      </w:r>
      <w:r>
        <w:rPr>
          <w:rFonts w:hint="eastAsia"/>
        </w:rPr>
        <w:t>将铅标准储备液（</w:t>
      </w:r>
      <w:r>
        <w:t>100</w:t>
      </w:r>
      <w:r>
        <w:rPr>
          <w:rFonts w:hint="eastAsia"/>
        </w:rPr>
        <w:t>μ</w:t>
      </w:r>
      <w:r>
        <w:t>g/mL</w:t>
      </w:r>
      <w:r>
        <w:rPr>
          <w:rFonts w:hint="eastAsia"/>
        </w:rPr>
        <w:t>）稀释到</w:t>
      </w:r>
      <w:r>
        <w:t>10</w:t>
      </w:r>
      <w:r>
        <w:rPr>
          <w:rFonts w:hint="eastAsia"/>
        </w:rPr>
        <w:t>μ</w:t>
      </w:r>
      <w:r>
        <w:t>g/mL</w:t>
      </w:r>
      <w:r>
        <w:rPr>
          <w:rFonts w:hint="eastAsia"/>
        </w:rPr>
        <w:t>。</w:t>
      </w:r>
    </w:p>
    <w:p>
      <w:pPr>
        <w:pStyle w:val="4"/>
        <w:spacing w:before="201" w:line="360" w:lineRule="auto"/>
        <w:ind w:left="0" w:firstLine="560"/>
      </w:pPr>
      <w:r>
        <w:rPr>
          <w:rFonts w:hint="eastAsia"/>
        </w:rPr>
        <w:t>根据待测样品的浓度，选择合适的标准工作曲线，分别吸取铅标准使用液（</w:t>
      </w:r>
      <w:r>
        <w:t>10</w:t>
      </w:r>
      <w:r>
        <w:rPr>
          <w:rFonts w:hint="eastAsia"/>
        </w:rPr>
        <w:t>μ</w:t>
      </w:r>
      <w:r>
        <w:t>g/mL</w:t>
      </w:r>
      <w:r>
        <w:rPr>
          <w:rFonts w:hint="eastAsia"/>
        </w:rPr>
        <w:t>）相应体积于</w:t>
      </w:r>
      <w:r>
        <w:t xml:space="preserve"> 125mL </w:t>
      </w:r>
      <w:r>
        <w:rPr>
          <w:rFonts w:hint="eastAsia"/>
        </w:rPr>
        <w:t>分液漏斗中。与试样相同方法萃取。</w:t>
      </w:r>
    </w:p>
    <w:p>
      <w:pPr>
        <w:pStyle w:val="4"/>
        <w:spacing w:before="201" w:line="360" w:lineRule="auto"/>
        <w:ind w:left="0" w:firstLine="560"/>
      </w:pPr>
      <w:r>
        <w:t>2</w:t>
      </w:r>
      <w:r>
        <w:rPr>
          <w:rFonts w:hint="eastAsia"/>
        </w:rPr>
        <w:t>、上机测定</w:t>
      </w:r>
    </w:p>
    <w:p>
      <w:pPr>
        <w:pStyle w:val="4"/>
        <w:spacing w:before="201" w:line="360" w:lineRule="auto"/>
        <w:ind w:left="0" w:firstLine="560"/>
      </w:pPr>
      <w:r>
        <w:rPr>
          <w:rFonts w:hint="eastAsia"/>
        </w:rPr>
        <w:t>按照仪器操作规程对待测样液进行检测，其中燃烧器参数已经由组委会调试设置好。</w:t>
      </w:r>
    </w:p>
    <w:p>
      <w:pPr>
        <w:pStyle w:val="4"/>
        <w:spacing w:before="201" w:line="360" w:lineRule="auto"/>
        <w:ind w:left="0" w:firstLine="560"/>
      </w:pPr>
      <w:r>
        <w:t>3</w:t>
      </w:r>
      <w:r>
        <w:rPr>
          <w:rFonts w:hint="eastAsia"/>
        </w:rPr>
        <w:t>、数据处理</w:t>
      </w:r>
    </w:p>
    <w:p>
      <w:pPr>
        <w:pStyle w:val="10"/>
        <w:numPr>
          <w:ilvl w:val="0"/>
          <w:numId w:val="5"/>
        </w:numPr>
        <w:tabs>
          <w:tab w:val="left" w:pos="1482"/>
        </w:tabs>
        <w:spacing w:before="200" w:line="360" w:lineRule="auto"/>
        <w:rPr>
          <w:sz w:val="28"/>
        </w:rPr>
      </w:pPr>
      <w:r>
        <w:rPr>
          <w:rFonts w:hint="eastAsia"/>
          <w:spacing w:val="-3"/>
          <w:sz w:val="28"/>
        </w:rPr>
        <w:t>正确填写实验报告单。</w:t>
      </w:r>
    </w:p>
    <w:p>
      <w:pPr>
        <w:pStyle w:val="10"/>
        <w:numPr>
          <w:ilvl w:val="0"/>
          <w:numId w:val="5"/>
        </w:numPr>
        <w:tabs>
          <w:tab w:val="left" w:pos="1482"/>
        </w:tabs>
        <w:spacing w:before="200" w:line="360" w:lineRule="auto"/>
        <w:rPr>
          <w:sz w:val="28"/>
        </w:rPr>
      </w:pPr>
      <w:r>
        <w:rPr>
          <w:rFonts w:hint="eastAsia"/>
          <w:spacing w:val="-3"/>
          <w:sz w:val="28"/>
        </w:rPr>
        <w:t>正确记录仪器检测条件。</w:t>
      </w:r>
    </w:p>
    <w:p>
      <w:pPr>
        <w:pStyle w:val="10"/>
        <w:numPr>
          <w:ilvl w:val="0"/>
          <w:numId w:val="5"/>
        </w:numPr>
        <w:tabs>
          <w:tab w:val="left" w:pos="1482"/>
        </w:tabs>
        <w:spacing w:before="203" w:line="360" w:lineRule="auto"/>
        <w:rPr>
          <w:sz w:val="28"/>
        </w:rPr>
      </w:pPr>
      <w:r>
        <w:rPr>
          <w:rFonts w:hint="eastAsia"/>
          <w:spacing w:val="-3"/>
          <w:sz w:val="28"/>
        </w:rPr>
        <w:t>正确记录预处理和上机检测过程中涉及到的原始数据。</w:t>
      </w:r>
    </w:p>
    <w:p>
      <w:pPr>
        <w:pStyle w:val="10"/>
        <w:numPr>
          <w:ilvl w:val="0"/>
          <w:numId w:val="5"/>
        </w:numPr>
        <w:tabs>
          <w:tab w:val="left" w:pos="1536"/>
        </w:tabs>
        <w:spacing w:before="201" w:line="360" w:lineRule="auto"/>
        <w:ind w:left="1536" w:hanging="759"/>
        <w:rPr>
          <w:sz w:val="28"/>
        </w:rPr>
      </w:pPr>
      <w:r>
        <w:rPr>
          <w:rFonts w:hint="eastAsia"/>
          <w:spacing w:val="15"/>
          <w:sz w:val="28"/>
        </w:rPr>
        <w:t>正确计算试样中铅含量结果，单位为毫克每千克或毫克每升</w:t>
      </w:r>
    </w:p>
    <w:p>
      <w:pPr>
        <w:pStyle w:val="4"/>
        <w:spacing w:before="200" w:line="360" w:lineRule="auto"/>
        <w:ind w:right="251"/>
      </w:pPr>
      <w:r>
        <w:rPr>
          <w:rFonts w:hint="eastAsia"/>
        </w:rPr>
        <w:t>（</w:t>
      </w:r>
      <w:r>
        <w:rPr>
          <w:rFonts w:ascii="Calibri" w:eastAsia="Times New Roman"/>
        </w:rPr>
        <w:t>mg/kg</w:t>
      </w:r>
      <w:r>
        <w:rPr>
          <w:rFonts w:hint="eastAsia"/>
          <w:spacing w:val="69"/>
        </w:rPr>
        <w:t>或</w:t>
      </w:r>
      <w:r>
        <w:rPr>
          <w:rFonts w:ascii="Calibri" w:eastAsia="Times New Roman"/>
        </w:rPr>
        <w:t>mg/L</w:t>
      </w:r>
      <w:r>
        <w:rPr>
          <w:rFonts w:hint="eastAsia"/>
        </w:rPr>
        <w:t>）</w:t>
      </w:r>
      <w:r>
        <w:rPr>
          <w:rFonts w:hint="eastAsia"/>
          <w:spacing w:val="-11"/>
        </w:rPr>
        <w:t>。以重复性条件下获得的</w:t>
      </w:r>
      <w:r>
        <w:rPr>
          <w:rFonts w:ascii="Calibri"/>
        </w:rPr>
        <w:t>2</w:t>
      </w:r>
      <w:r>
        <w:rPr>
          <w:rFonts w:hint="eastAsia"/>
          <w:spacing w:val="-3"/>
        </w:rPr>
        <w:t>次独立测定结果的算术平均</w:t>
      </w:r>
      <w:r>
        <w:rPr>
          <w:rFonts w:hint="eastAsia"/>
          <w:spacing w:val="-2"/>
        </w:rPr>
        <w:t>值表示。</w:t>
      </w:r>
    </w:p>
    <w:p>
      <w:pPr>
        <w:pStyle w:val="10"/>
        <w:numPr>
          <w:ilvl w:val="0"/>
          <w:numId w:val="5"/>
        </w:numPr>
        <w:tabs>
          <w:tab w:val="left" w:pos="1482"/>
        </w:tabs>
        <w:spacing w:line="360" w:lineRule="auto"/>
        <w:rPr>
          <w:sz w:val="28"/>
        </w:rPr>
      </w:pPr>
      <w:r>
        <w:rPr>
          <w:rFonts w:hint="eastAsia"/>
          <w:spacing w:val="-3"/>
          <w:sz w:val="28"/>
        </w:rPr>
        <w:t>正确判断结果的准确度</w:t>
      </w:r>
      <w:r>
        <w:rPr>
          <w:rFonts w:hint="eastAsia"/>
          <w:sz w:val="28"/>
          <w:szCs w:val="28"/>
        </w:rPr>
        <w:t>（用回收率η表征）</w:t>
      </w:r>
      <w:r>
        <w:rPr>
          <w:rFonts w:hint="eastAsia"/>
          <w:spacing w:val="-3"/>
          <w:sz w:val="28"/>
        </w:rPr>
        <w:t>和精密度</w:t>
      </w:r>
      <w:r>
        <w:rPr>
          <w:rFonts w:hint="eastAsia"/>
          <w:sz w:val="28"/>
          <w:szCs w:val="28"/>
        </w:rPr>
        <w:t>（相对相差≤</w:t>
      </w:r>
    </w:p>
    <w:p>
      <w:pPr>
        <w:pStyle w:val="10"/>
        <w:tabs>
          <w:tab w:val="left" w:pos="1482"/>
        </w:tabs>
        <w:spacing w:line="360" w:lineRule="auto"/>
        <w:ind w:left="0" w:firstLine="0"/>
        <w:rPr>
          <w:sz w:val="28"/>
        </w:rPr>
      </w:pPr>
      <w:r>
        <w:rPr>
          <w:sz w:val="28"/>
          <w:szCs w:val="28"/>
        </w:rPr>
        <w:t>20%</w:t>
      </w:r>
      <w:r>
        <w:rPr>
          <w:rFonts w:hint="eastAsia"/>
          <w:sz w:val="28"/>
          <w:szCs w:val="28"/>
        </w:rPr>
        <w:t>）</w:t>
      </w:r>
      <w:r>
        <w:rPr>
          <w:rFonts w:hint="eastAsia"/>
          <w:spacing w:val="-3"/>
          <w:sz w:val="28"/>
        </w:rPr>
        <w:t>。</w:t>
      </w:r>
    </w:p>
    <w:p>
      <w:pPr>
        <w:pStyle w:val="4"/>
        <w:spacing w:before="62" w:line="360" w:lineRule="auto"/>
        <w:ind w:left="0" w:firstLine="562" w:firstLineChars="200"/>
      </w:pPr>
      <w:r>
        <w:rPr>
          <w:rFonts w:hint="eastAsia"/>
          <w:b/>
        </w:rPr>
        <w:t>（三）基础理论测试</w:t>
      </w:r>
      <w:r>
        <w:rPr>
          <w:rFonts w:hint="eastAsia"/>
        </w:rPr>
        <w:t>（农药残留和重金属使用相同试卷）</w:t>
      </w:r>
    </w:p>
    <w:p>
      <w:pPr>
        <w:spacing w:before="154" w:line="360" w:lineRule="auto"/>
        <w:ind w:left="338" w:right="2513" w:firstLine="2133"/>
        <w:rPr>
          <w:sz w:val="28"/>
          <w:szCs w:val="28"/>
        </w:rPr>
      </w:pPr>
    </w:p>
    <w:p>
      <w:pPr>
        <w:spacing w:before="154" w:line="360" w:lineRule="auto"/>
        <w:ind w:left="338" w:right="2513" w:firstLine="2133"/>
        <w:rPr>
          <w:b/>
          <w:sz w:val="28"/>
          <w:szCs w:val="28"/>
        </w:rPr>
      </w:pPr>
      <w:r>
        <w:rPr>
          <w:rFonts w:hint="eastAsia"/>
          <w:sz w:val="28"/>
          <w:szCs w:val="28"/>
        </w:rPr>
        <w:t>农产品质量安全检测基础理论（样卷）</w:t>
      </w:r>
      <w:r>
        <w:rPr>
          <w:rFonts w:hint="eastAsia"/>
          <w:b/>
          <w:sz w:val="28"/>
          <w:szCs w:val="28"/>
        </w:rPr>
        <w:t>一、</w:t>
      </w:r>
      <w:r>
        <w:rPr>
          <w:b/>
          <w:sz w:val="28"/>
          <w:szCs w:val="28"/>
        </w:rPr>
        <w:t xml:space="preserve"> </w:t>
      </w:r>
      <w:r>
        <w:rPr>
          <w:rFonts w:hint="eastAsia"/>
          <w:b/>
          <w:sz w:val="28"/>
          <w:szCs w:val="28"/>
        </w:rPr>
        <w:t>单选题（共</w:t>
      </w:r>
      <w:r>
        <w:rPr>
          <w:b/>
          <w:sz w:val="28"/>
          <w:szCs w:val="28"/>
        </w:rPr>
        <w:t xml:space="preserve"> 30 </w:t>
      </w:r>
      <w:r>
        <w:rPr>
          <w:rFonts w:hint="eastAsia"/>
          <w:b/>
          <w:sz w:val="28"/>
          <w:szCs w:val="28"/>
        </w:rPr>
        <w:t>题，每题</w:t>
      </w:r>
      <w:r>
        <w:rPr>
          <w:b/>
          <w:sz w:val="28"/>
          <w:szCs w:val="28"/>
        </w:rPr>
        <w:t xml:space="preserve"> 2 </w:t>
      </w:r>
      <w:r>
        <w:rPr>
          <w:rFonts w:hint="eastAsia"/>
          <w:b/>
          <w:sz w:val="28"/>
          <w:szCs w:val="28"/>
        </w:rPr>
        <w:t>分）</w:t>
      </w:r>
    </w:p>
    <w:p>
      <w:pPr>
        <w:pStyle w:val="10"/>
        <w:tabs>
          <w:tab w:val="left" w:pos="480"/>
          <w:tab w:val="left" w:pos="3839"/>
          <w:tab w:val="left" w:pos="4259"/>
          <w:tab w:val="left" w:pos="4610"/>
        </w:tabs>
        <w:spacing w:line="360" w:lineRule="auto"/>
        <w:ind w:firstLine="0"/>
        <w:rPr>
          <w:sz w:val="28"/>
          <w:szCs w:val="28"/>
        </w:rPr>
      </w:pPr>
      <w:r>
        <w:rPr>
          <w:sz w:val="28"/>
          <w:szCs w:val="28"/>
        </w:rPr>
        <w:t>1.</w:t>
      </w:r>
      <w:r>
        <w:rPr>
          <w:rFonts w:hint="eastAsia"/>
          <w:sz w:val="28"/>
          <w:szCs w:val="28"/>
        </w:rPr>
        <w:t>高锰酸钾溶液呈现出紫色的原因是</w:t>
      </w:r>
      <w:r>
        <w:rPr>
          <w:sz w:val="28"/>
          <w:szCs w:val="28"/>
        </w:rPr>
        <w:tab/>
      </w:r>
      <w:r>
        <w:rPr>
          <w:rFonts w:hint="eastAsia"/>
          <w:sz w:val="28"/>
          <w:szCs w:val="28"/>
        </w:rPr>
        <w:t>（</w:t>
      </w:r>
      <w:r>
        <w:rPr>
          <w:sz w:val="28"/>
          <w:szCs w:val="28"/>
        </w:rPr>
        <w:tab/>
      </w:r>
      <w:r>
        <w:rPr>
          <w:rFonts w:ascii="Times New Roman" w:eastAsia="Times New Roman"/>
          <w:sz w:val="28"/>
          <w:szCs w:val="28"/>
        </w:rPr>
        <w:t>C</w:t>
      </w:r>
      <w:r>
        <w:rPr>
          <w:rFonts w:ascii="Times New Roman" w:eastAsia="Times New Roman"/>
          <w:sz w:val="28"/>
          <w:szCs w:val="28"/>
        </w:rPr>
        <w:tab/>
      </w:r>
      <w:r>
        <w:rPr>
          <w:rFonts w:hint="eastAsia"/>
          <w:sz w:val="28"/>
          <w:szCs w:val="28"/>
        </w:rPr>
        <w:t>）</w:t>
      </w:r>
    </w:p>
    <w:p>
      <w:pPr>
        <w:spacing w:before="1" w:line="360" w:lineRule="auto"/>
        <w:ind w:left="218" w:right="6603"/>
        <w:rPr>
          <w:rFonts w:ascii="Times New Roman" w:eastAsia="Times New Roman"/>
          <w:sz w:val="28"/>
          <w:szCs w:val="28"/>
        </w:rPr>
      </w:pPr>
      <w:r>
        <w:rPr>
          <w:rFonts w:ascii="Times New Roman" w:eastAsia="Times New Roman"/>
          <w:sz w:val="28"/>
          <w:szCs w:val="28"/>
        </w:rPr>
        <w:t>A.</w:t>
      </w:r>
      <w:r>
        <w:rPr>
          <w:rFonts w:hint="eastAsia"/>
          <w:sz w:val="28"/>
          <w:szCs w:val="28"/>
        </w:rPr>
        <w:t>高锰酸钾溶液本身是紫色</w:t>
      </w:r>
      <w:r>
        <w:rPr>
          <w:sz w:val="28"/>
          <w:szCs w:val="28"/>
        </w:rPr>
        <w:t xml:space="preserve"> </w:t>
      </w:r>
      <w:r>
        <w:rPr>
          <w:rFonts w:ascii="Times New Roman" w:eastAsia="Times New Roman"/>
          <w:sz w:val="28"/>
          <w:szCs w:val="28"/>
        </w:rPr>
        <w:t>B.</w:t>
      </w:r>
      <w:r>
        <w:rPr>
          <w:rFonts w:hint="eastAsia"/>
          <w:sz w:val="28"/>
          <w:szCs w:val="28"/>
        </w:rPr>
        <w:t>高锰酸钾溶液吸收了紫色光</w:t>
      </w:r>
      <w:r>
        <w:rPr>
          <w:rFonts w:ascii="Times New Roman" w:eastAsia="Times New Roman"/>
          <w:sz w:val="28"/>
          <w:szCs w:val="28"/>
        </w:rPr>
        <w:t>C.</w:t>
      </w:r>
      <w:r>
        <w:rPr>
          <w:rFonts w:hint="eastAsia"/>
          <w:sz w:val="28"/>
          <w:szCs w:val="28"/>
        </w:rPr>
        <w:t>高锰酸钾溶液不吸收紫色光</w:t>
      </w:r>
      <w:r>
        <w:rPr>
          <w:rFonts w:ascii="Times New Roman" w:eastAsia="Times New Roman"/>
          <w:sz w:val="28"/>
          <w:szCs w:val="28"/>
        </w:rPr>
        <w:t>D.</w:t>
      </w:r>
      <w:r>
        <w:rPr>
          <w:rFonts w:hint="eastAsia"/>
          <w:spacing w:val="-1"/>
          <w:sz w:val="28"/>
          <w:szCs w:val="28"/>
        </w:rPr>
        <w:t>高锰酸钾溶液折射了紫色光</w:t>
      </w:r>
      <w:r>
        <w:rPr>
          <w:rFonts w:ascii="Times New Roman" w:eastAsia="Times New Roman"/>
          <w:sz w:val="28"/>
          <w:szCs w:val="28"/>
        </w:rPr>
        <w:t>2.*****************</w:t>
      </w:r>
    </w:p>
    <w:p>
      <w:pPr>
        <w:spacing w:before="48" w:line="360" w:lineRule="auto"/>
        <w:ind w:left="218"/>
        <w:rPr>
          <w:rFonts w:ascii="Times New Roman"/>
          <w:sz w:val="28"/>
          <w:szCs w:val="28"/>
        </w:rPr>
      </w:pPr>
      <w:r>
        <w:rPr>
          <w:rFonts w:ascii="Times New Roman"/>
          <w:sz w:val="28"/>
          <w:szCs w:val="28"/>
        </w:rPr>
        <w:t>3.*****************</w:t>
      </w:r>
    </w:p>
    <w:p>
      <w:pPr>
        <w:spacing w:before="1" w:line="360" w:lineRule="auto"/>
        <w:ind w:left="218"/>
        <w:rPr>
          <w:rFonts w:ascii="Times New Roman"/>
          <w:sz w:val="28"/>
          <w:szCs w:val="28"/>
        </w:rPr>
      </w:pPr>
      <w:r>
        <w:rPr>
          <w:rFonts w:ascii="Times New Roman"/>
          <w:sz w:val="28"/>
          <w:szCs w:val="28"/>
        </w:rPr>
        <w:t>.......</w:t>
      </w:r>
    </w:p>
    <w:p>
      <w:pPr>
        <w:spacing w:before="143" w:line="360" w:lineRule="auto"/>
        <w:rPr>
          <w:b/>
          <w:sz w:val="28"/>
          <w:szCs w:val="28"/>
        </w:rPr>
      </w:pPr>
      <w:bookmarkStart w:id="1" w:name="二、_多选题（共10题，每题3分）_"/>
      <w:bookmarkEnd w:id="1"/>
      <w:r>
        <w:rPr>
          <w:rFonts w:hint="eastAsia"/>
          <w:b/>
          <w:sz w:val="28"/>
          <w:szCs w:val="28"/>
        </w:rPr>
        <w:t>二、</w:t>
      </w:r>
      <w:r>
        <w:rPr>
          <w:b/>
          <w:sz w:val="28"/>
          <w:szCs w:val="28"/>
        </w:rPr>
        <w:t xml:space="preserve"> </w:t>
      </w:r>
      <w:r>
        <w:rPr>
          <w:rFonts w:hint="eastAsia"/>
          <w:b/>
          <w:sz w:val="28"/>
          <w:szCs w:val="28"/>
        </w:rPr>
        <w:t>多选题（共</w:t>
      </w:r>
      <w:r>
        <w:rPr>
          <w:b/>
          <w:sz w:val="28"/>
          <w:szCs w:val="28"/>
        </w:rPr>
        <w:t xml:space="preserve"> 10 </w:t>
      </w:r>
      <w:r>
        <w:rPr>
          <w:rFonts w:hint="eastAsia"/>
          <w:b/>
          <w:sz w:val="28"/>
          <w:szCs w:val="28"/>
        </w:rPr>
        <w:t>题，每题</w:t>
      </w:r>
      <w:r>
        <w:rPr>
          <w:b/>
          <w:sz w:val="28"/>
          <w:szCs w:val="28"/>
        </w:rPr>
        <w:t xml:space="preserve"> 3 </w:t>
      </w:r>
      <w:r>
        <w:rPr>
          <w:rFonts w:hint="eastAsia"/>
          <w:b/>
          <w:sz w:val="28"/>
          <w:szCs w:val="28"/>
        </w:rPr>
        <w:t>分）</w:t>
      </w:r>
    </w:p>
    <w:p>
      <w:pPr>
        <w:tabs>
          <w:tab w:val="left" w:pos="3878"/>
        </w:tabs>
        <w:spacing w:line="360" w:lineRule="auto"/>
        <w:ind w:left="218" w:right="4645"/>
        <w:rPr>
          <w:spacing w:val="-17"/>
          <w:sz w:val="28"/>
          <w:szCs w:val="28"/>
        </w:rPr>
      </w:pPr>
      <w:r>
        <w:rPr>
          <w:rFonts w:ascii="Times New Roman" w:eastAsia="Times New Roman"/>
          <w:sz w:val="28"/>
          <w:szCs w:val="28"/>
        </w:rPr>
        <w:t xml:space="preserve">1. </w:t>
      </w:r>
      <w:r>
        <w:rPr>
          <w:rFonts w:hint="eastAsia"/>
          <w:sz w:val="28"/>
          <w:szCs w:val="28"/>
        </w:rPr>
        <w:t>减压浓缩适于分析哪类样品（</w:t>
      </w:r>
      <w:r>
        <w:rPr>
          <w:sz w:val="28"/>
          <w:szCs w:val="28"/>
        </w:rPr>
        <w:t xml:space="preserve">AC </w:t>
      </w:r>
      <w:r>
        <w:rPr>
          <w:rFonts w:hint="eastAsia"/>
          <w:sz w:val="28"/>
          <w:szCs w:val="28"/>
        </w:rPr>
        <w:t>）</w:t>
      </w:r>
      <w:r>
        <w:rPr>
          <w:spacing w:val="-60"/>
          <w:sz w:val="28"/>
          <w:szCs w:val="28"/>
        </w:rPr>
        <w:t xml:space="preserve"> </w:t>
      </w:r>
      <w:r>
        <w:rPr>
          <w:rFonts w:hint="eastAsia"/>
          <w:spacing w:val="-17"/>
          <w:sz w:val="28"/>
          <w:szCs w:val="28"/>
        </w:rPr>
        <w:t>。</w:t>
      </w:r>
    </w:p>
    <w:p>
      <w:pPr>
        <w:tabs>
          <w:tab w:val="left" w:pos="3878"/>
        </w:tabs>
        <w:spacing w:line="360" w:lineRule="auto"/>
        <w:ind w:left="218" w:right="4645"/>
        <w:rPr>
          <w:sz w:val="28"/>
          <w:szCs w:val="28"/>
        </w:rPr>
      </w:pPr>
      <w:r>
        <w:rPr>
          <w:sz w:val="28"/>
          <w:szCs w:val="28"/>
        </w:rPr>
        <w:t>A</w:t>
      </w:r>
      <w:r>
        <w:rPr>
          <w:rFonts w:hint="eastAsia"/>
          <w:sz w:val="28"/>
          <w:szCs w:val="28"/>
        </w:rPr>
        <w:t>、</w:t>
      </w:r>
      <w:r>
        <w:rPr>
          <w:sz w:val="28"/>
          <w:szCs w:val="28"/>
        </w:rPr>
        <w:t xml:space="preserve"> </w:t>
      </w:r>
      <w:r>
        <w:rPr>
          <w:rFonts w:hint="eastAsia"/>
          <w:sz w:val="28"/>
          <w:szCs w:val="28"/>
        </w:rPr>
        <w:t>对热不稳定样品</w:t>
      </w:r>
    </w:p>
    <w:p>
      <w:pPr>
        <w:spacing w:line="360" w:lineRule="auto"/>
        <w:ind w:left="218" w:right="7405"/>
        <w:rPr>
          <w:sz w:val="28"/>
          <w:szCs w:val="28"/>
        </w:rPr>
      </w:pPr>
      <w:r>
        <w:rPr>
          <w:sz w:val="28"/>
          <w:szCs w:val="28"/>
        </w:rPr>
        <w:t>B</w:t>
      </w:r>
      <w:r>
        <w:rPr>
          <w:rFonts w:hint="eastAsia"/>
          <w:sz w:val="28"/>
          <w:szCs w:val="28"/>
        </w:rPr>
        <w:t>、</w:t>
      </w:r>
      <w:r>
        <w:rPr>
          <w:sz w:val="28"/>
          <w:szCs w:val="28"/>
        </w:rPr>
        <w:t xml:space="preserve"> </w:t>
      </w:r>
      <w:r>
        <w:rPr>
          <w:rFonts w:hint="eastAsia"/>
          <w:sz w:val="28"/>
          <w:szCs w:val="28"/>
        </w:rPr>
        <w:t>热稳定性样</w:t>
      </w:r>
      <w:r>
        <w:rPr>
          <w:sz w:val="28"/>
          <w:szCs w:val="28"/>
        </w:rPr>
        <w:t>C</w:t>
      </w:r>
      <w:r>
        <w:rPr>
          <w:rFonts w:hint="eastAsia"/>
          <w:sz w:val="28"/>
          <w:szCs w:val="28"/>
        </w:rPr>
        <w:t>、</w:t>
      </w:r>
      <w:r>
        <w:rPr>
          <w:sz w:val="28"/>
          <w:szCs w:val="28"/>
        </w:rPr>
        <w:t xml:space="preserve"> </w:t>
      </w:r>
      <w:r>
        <w:rPr>
          <w:rFonts w:hint="eastAsia"/>
          <w:sz w:val="28"/>
          <w:szCs w:val="28"/>
        </w:rPr>
        <w:t>易挥发样品</w:t>
      </w:r>
    </w:p>
    <w:p>
      <w:pPr>
        <w:spacing w:line="360" w:lineRule="auto"/>
        <w:ind w:left="218"/>
        <w:rPr>
          <w:sz w:val="28"/>
          <w:szCs w:val="28"/>
        </w:rPr>
      </w:pPr>
      <w:r>
        <w:rPr>
          <w:sz w:val="28"/>
          <w:szCs w:val="28"/>
        </w:rPr>
        <w:t>D</w:t>
      </w:r>
      <w:r>
        <w:rPr>
          <w:rFonts w:hint="eastAsia"/>
          <w:sz w:val="28"/>
          <w:szCs w:val="28"/>
        </w:rPr>
        <w:t>、</w:t>
      </w:r>
      <w:r>
        <w:rPr>
          <w:sz w:val="28"/>
          <w:szCs w:val="28"/>
        </w:rPr>
        <w:t xml:space="preserve"> </w:t>
      </w:r>
      <w:r>
        <w:rPr>
          <w:rFonts w:hint="eastAsia"/>
          <w:sz w:val="28"/>
          <w:szCs w:val="28"/>
        </w:rPr>
        <w:t>非挥发性样品</w:t>
      </w:r>
    </w:p>
    <w:p>
      <w:pPr>
        <w:spacing w:line="360" w:lineRule="auto"/>
        <w:ind w:left="218"/>
        <w:rPr>
          <w:rFonts w:ascii="Times New Roman"/>
          <w:sz w:val="28"/>
          <w:szCs w:val="28"/>
        </w:rPr>
      </w:pPr>
      <w:r>
        <w:rPr>
          <w:rFonts w:ascii="Times New Roman"/>
          <w:sz w:val="28"/>
          <w:szCs w:val="28"/>
        </w:rPr>
        <w:t>2.*****************</w:t>
      </w:r>
    </w:p>
    <w:p>
      <w:pPr>
        <w:spacing w:line="360" w:lineRule="auto"/>
        <w:ind w:left="218"/>
        <w:rPr>
          <w:rFonts w:ascii="Times New Roman"/>
          <w:sz w:val="28"/>
          <w:szCs w:val="28"/>
        </w:rPr>
      </w:pPr>
      <w:r>
        <w:rPr>
          <w:rFonts w:ascii="Times New Roman"/>
          <w:sz w:val="28"/>
          <w:szCs w:val="28"/>
        </w:rPr>
        <w:t>3.*****************</w:t>
      </w:r>
    </w:p>
    <w:p>
      <w:pPr>
        <w:spacing w:line="360" w:lineRule="auto"/>
        <w:ind w:left="218"/>
        <w:rPr>
          <w:rFonts w:ascii="Times New Roman"/>
          <w:sz w:val="28"/>
          <w:szCs w:val="28"/>
        </w:rPr>
      </w:pPr>
      <w:r>
        <w:rPr>
          <w:rFonts w:ascii="Times New Roman"/>
          <w:sz w:val="28"/>
          <w:szCs w:val="28"/>
        </w:rPr>
        <w:t>.......</w:t>
      </w:r>
    </w:p>
    <w:p>
      <w:pPr>
        <w:spacing w:line="360" w:lineRule="auto"/>
        <w:rPr>
          <w:b/>
          <w:sz w:val="28"/>
          <w:szCs w:val="28"/>
        </w:rPr>
      </w:pPr>
      <w:r>
        <w:rPr>
          <w:rFonts w:hint="eastAsia"/>
          <w:b/>
          <w:sz w:val="28"/>
          <w:szCs w:val="28"/>
        </w:rPr>
        <w:t>三、</w:t>
      </w:r>
      <w:r>
        <w:rPr>
          <w:b/>
          <w:sz w:val="28"/>
          <w:szCs w:val="28"/>
        </w:rPr>
        <w:t xml:space="preserve"> </w:t>
      </w:r>
      <w:r>
        <w:rPr>
          <w:rFonts w:hint="eastAsia"/>
          <w:b/>
          <w:sz w:val="28"/>
          <w:szCs w:val="28"/>
        </w:rPr>
        <w:t>判断题（共</w:t>
      </w:r>
      <w:r>
        <w:rPr>
          <w:b/>
          <w:sz w:val="28"/>
          <w:szCs w:val="28"/>
        </w:rPr>
        <w:t xml:space="preserve"> 10 </w:t>
      </w:r>
      <w:r>
        <w:rPr>
          <w:rFonts w:hint="eastAsia"/>
          <w:b/>
          <w:sz w:val="28"/>
          <w:szCs w:val="28"/>
        </w:rPr>
        <w:t>题，每题</w:t>
      </w:r>
      <w:r>
        <w:rPr>
          <w:b/>
          <w:sz w:val="28"/>
          <w:szCs w:val="28"/>
        </w:rPr>
        <w:t xml:space="preserve"> 1 </w:t>
      </w:r>
      <w:r>
        <w:rPr>
          <w:rFonts w:hint="eastAsia"/>
          <w:b/>
          <w:sz w:val="28"/>
          <w:szCs w:val="28"/>
        </w:rPr>
        <w:t>分）</w:t>
      </w:r>
    </w:p>
    <w:p>
      <w:pPr>
        <w:spacing w:before="160" w:line="360" w:lineRule="auto"/>
        <w:ind w:left="218"/>
        <w:rPr>
          <w:sz w:val="28"/>
          <w:szCs w:val="28"/>
        </w:rPr>
      </w:pPr>
      <w:r>
        <w:rPr>
          <w:rFonts w:ascii="Calibri" w:hAnsi="Calibri"/>
          <w:sz w:val="28"/>
          <w:szCs w:val="28"/>
        </w:rPr>
        <w:t>1.</w:t>
      </w:r>
      <w:r>
        <w:rPr>
          <w:rFonts w:hint="eastAsia"/>
          <w:sz w:val="28"/>
          <w:szCs w:val="28"/>
        </w:rPr>
        <w:t>灵敏度较高的检测方法相对误差较大。（</w:t>
      </w:r>
      <w:r>
        <w:rPr>
          <w:sz w:val="28"/>
          <w:szCs w:val="28"/>
        </w:rPr>
        <w:t>?</w:t>
      </w:r>
      <w:r>
        <w:rPr>
          <w:rFonts w:hint="eastAsia"/>
          <w:sz w:val="28"/>
          <w:szCs w:val="28"/>
        </w:rPr>
        <w:t>ì</w:t>
      </w:r>
      <w:r>
        <w:rPr>
          <w:sz w:val="28"/>
          <w:szCs w:val="28"/>
        </w:rPr>
        <w:t xml:space="preserve"> </w:t>
      </w:r>
      <w:r>
        <w:rPr>
          <w:rFonts w:hint="eastAsia"/>
          <w:sz w:val="28"/>
          <w:szCs w:val="28"/>
        </w:rPr>
        <w:t>）</w:t>
      </w:r>
    </w:p>
    <w:p>
      <w:pPr>
        <w:spacing w:before="193" w:line="360" w:lineRule="auto"/>
        <w:ind w:left="218"/>
        <w:rPr>
          <w:rFonts w:ascii="Times New Roman"/>
          <w:sz w:val="28"/>
          <w:szCs w:val="28"/>
        </w:rPr>
      </w:pPr>
      <w:r>
        <w:rPr>
          <w:rFonts w:ascii="Times New Roman"/>
          <w:sz w:val="28"/>
          <w:szCs w:val="28"/>
        </w:rPr>
        <w:t>2.*****************</w:t>
      </w:r>
    </w:p>
    <w:p>
      <w:pPr>
        <w:spacing w:before="113" w:line="360" w:lineRule="auto"/>
        <w:ind w:left="218"/>
        <w:rPr>
          <w:sz w:val="28"/>
          <w:szCs w:val="28"/>
        </w:rPr>
        <w:sectPr>
          <w:pgSz w:w="11910" w:h="16840"/>
          <w:pgMar w:top="1580" w:right="1160" w:bottom="1440" w:left="1200" w:header="0" w:footer="1247" w:gutter="0"/>
          <w:cols w:space="720" w:num="1"/>
        </w:sectPr>
      </w:pPr>
      <w:r>
        <w:rPr>
          <w:rFonts w:ascii="Times New Roman"/>
          <w:sz w:val="28"/>
          <w:szCs w:val="28"/>
        </w:rPr>
        <w:t>3.***************</w:t>
      </w:r>
    </w:p>
    <w:p>
      <w:pPr>
        <w:pStyle w:val="4"/>
        <w:spacing w:before="62" w:line="360" w:lineRule="auto"/>
        <w:ind w:left="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F1AB2"/>
    <w:multiLevelType w:val="multilevel"/>
    <w:tmpl w:val="082F1AB2"/>
    <w:lvl w:ilvl="0" w:tentative="0">
      <w:start w:val="1"/>
      <w:numFmt w:val="decimal"/>
      <w:lvlText w:val="%1."/>
      <w:lvlJc w:val="left"/>
      <w:pPr>
        <w:ind w:left="920" w:hanging="360"/>
      </w:pPr>
      <w:rPr>
        <w:rFonts w:hint="eastAsia" w:cs="Times New Roman"/>
      </w:rPr>
    </w:lvl>
    <w:lvl w:ilvl="1" w:tentative="0">
      <w:start w:val="1"/>
      <w:numFmt w:val="lowerLetter"/>
      <w:lvlText w:val="%2)"/>
      <w:lvlJc w:val="left"/>
      <w:pPr>
        <w:ind w:left="1520" w:hanging="480"/>
      </w:pPr>
      <w:rPr>
        <w:rFonts w:cs="Times New Roman"/>
      </w:rPr>
    </w:lvl>
    <w:lvl w:ilvl="2" w:tentative="0">
      <w:start w:val="1"/>
      <w:numFmt w:val="lowerRoman"/>
      <w:lvlText w:val="%3."/>
      <w:lvlJc w:val="right"/>
      <w:pPr>
        <w:ind w:left="2000" w:hanging="480"/>
      </w:pPr>
      <w:rPr>
        <w:rFonts w:cs="Times New Roman"/>
      </w:rPr>
    </w:lvl>
    <w:lvl w:ilvl="3" w:tentative="0">
      <w:start w:val="1"/>
      <w:numFmt w:val="decimal"/>
      <w:lvlText w:val="%4."/>
      <w:lvlJc w:val="left"/>
      <w:pPr>
        <w:ind w:left="2480" w:hanging="480"/>
      </w:pPr>
      <w:rPr>
        <w:rFonts w:cs="Times New Roman"/>
      </w:rPr>
    </w:lvl>
    <w:lvl w:ilvl="4" w:tentative="0">
      <w:start w:val="1"/>
      <w:numFmt w:val="lowerLetter"/>
      <w:lvlText w:val="%5)"/>
      <w:lvlJc w:val="left"/>
      <w:pPr>
        <w:ind w:left="2960" w:hanging="480"/>
      </w:pPr>
      <w:rPr>
        <w:rFonts w:cs="Times New Roman"/>
      </w:rPr>
    </w:lvl>
    <w:lvl w:ilvl="5" w:tentative="0">
      <w:start w:val="1"/>
      <w:numFmt w:val="lowerRoman"/>
      <w:lvlText w:val="%6."/>
      <w:lvlJc w:val="right"/>
      <w:pPr>
        <w:ind w:left="3440" w:hanging="480"/>
      </w:pPr>
      <w:rPr>
        <w:rFonts w:cs="Times New Roman"/>
      </w:rPr>
    </w:lvl>
    <w:lvl w:ilvl="6" w:tentative="0">
      <w:start w:val="1"/>
      <w:numFmt w:val="decimal"/>
      <w:lvlText w:val="%7."/>
      <w:lvlJc w:val="left"/>
      <w:pPr>
        <w:ind w:left="3920" w:hanging="480"/>
      </w:pPr>
      <w:rPr>
        <w:rFonts w:cs="Times New Roman"/>
      </w:rPr>
    </w:lvl>
    <w:lvl w:ilvl="7" w:tentative="0">
      <w:start w:val="1"/>
      <w:numFmt w:val="lowerLetter"/>
      <w:lvlText w:val="%8)"/>
      <w:lvlJc w:val="left"/>
      <w:pPr>
        <w:ind w:left="4400" w:hanging="480"/>
      </w:pPr>
      <w:rPr>
        <w:rFonts w:cs="Times New Roman"/>
      </w:rPr>
    </w:lvl>
    <w:lvl w:ilvl="8" w:tentative="0">
      <w:start w:val="1"/>
      <w:numFmt w:val="lowerRoman"/>
      <w:lvlText w:val="%9."/>
      <w:lvlJc w:val="right"/>
      <w:pPr>
        <w:ind w:left="4880" w:hanging="480"/>
      </w:pPr>
      <w:rPr>
        <w:rFonts w:cs="Times New Roman"/>
      </w:rPr>
    </w:lvl>
  </w:abstractNum>
  <w:abstractNum w:abstractNumId="1">
    <w:nsid w:val="12F038EE"/>
    <w:multiLevelType w:val="multilevel"/>
    <w:tmpl w:val="12F038EE"/>
    <w:lvl w:ilvl="0" w:tentative="0">
      <w:start w:val="1"/>
      <w:numFmt w:val="decimal"/>
      <w:lvlText w:val="（%1）"/>
      <w:lvlJc w:val="left"/>
      <w:pPr>
        <w:ind w:left="1280" w:hanging="720"/>
      </w:pPr>
      <w:rPr>
        <w:rFonts w:hint="eastAsia" w:cs="Times New Roman"/>
      </w:rPr>
    </w:lvl>
    <w:lvl w:ilvl="1" w:tentative="0">
      <w:start w:val="1"/>
      <w:numFmt w:val="lowerLetter"/>
      <w:lvlText w:val="%2)"/>
      <w:lvlJc w:val="left"/>
      <w:pPr>
        <w:ind w:left="1520" w:hanging="480"/>
      </w:pPr>
      <w:rPr>
        <w:rFonts w:cs="Times New Roman"/>
      </w:rPr>
    </w:lvl>
    <w:lvl w:ilvl="2" w:tentative="0">
      <w:start w:val="1"/>
      <w:numFmt w:val="lowerRoman"/>
      <w:lvlText w:val="%3."/>
      <w:lvlJc w:val="right"/>
      <w:pPr>
        <w:ind w:left="2000" w:hanging="480"/>
      </w:pPr>
      <w:rPr>
        <w:rFonts w:cs="Times New Roman"/>
      </w:rPr>
    </w:lvl>
    <w:lvl w:ilvl="3" w:tentative="0">
      <w:start w:val="1"/>
      <w:numFmt w:val="decimal"/>
      <w:lvlText w:val="%4."/>
      <w:lvlJc w:val="left"/>
      <w:pPr>
        <w:ind w:left="2480" w:hanging="480"/>
      </w:pPr>
      <w:rPr>
        <w:rFonts w:cs="Times New Roman"/>
      </w:rPr>
    </w:lvl>
    <w:lvl w:ilvl="4" w:tentative="0">
      <w:start w:val="1"/>
      <w:numFmt w:val="lowerLetter"/>
      <w:lvlText w:val="%5)"/>
      <w:lvlJc w:val="left"/>
      <w:pPr>
        <w:ind w:left="2960" w:hanging="480"/>
      </w:pPr>
      <w:rPr>
        <w:rFonts w:cs="Times New Roman"/>
      </w:rPr>
    </w:lvl>
    <w:lvl w:ilvl="5" w:tentative="0">
      <w:start w:val="1"/>
      <w:numFmt w:val="lowerRoman"/>
      <w:lvlText w:val="%6."/>
      <w:lvlJc w:val="right"/>
      <w:pPr>
        <w:ind w:left="3440" w:hanging="480"/>
      </w:pPr>
      <w:rPr>
        <w:rFonts w:cs="Times New Roman"/>
      </w:rPr>
    </w:lvl>
    <w:lvl w:ilvl="6" w:tentative="0">
      <w:start w:val="1"/>
      <w:numFmt w:val="decimal"/>
      <w:lvlText w:val="%7."/>
      <w:lvlJc w:val="left"/>
      <w:pPr>
        <w:ind w:left="3920" w:hanging="480"/>
      </w:pPr>
      <w:rPr>
        <w:rFonts w:cs="Times New Roman"/>
      </w:rPr>
    </w:lvl>
    <w:lvl w:ilvl="7" w:tentative="0">
      <w:start w:val="1"/>
      <w:numFmt w:val="lowerLetter"/>
      <w:lvlText w:val="%8)"/>
      <w:lvlJc w:val="left"/>
      <w:pPr>
        <w:ind w:left="4400" w:hanging="480"/>
      </w:pPr>
      <w:rPr>
        <w:rFonts w:cs="Times New Roman"/>
      </w:rPr>
    </w:lvl>
    <w:lvl w:ilvl="8" w:tentative="0">
      <w:start w:val="1"/>
      <w:numFmt w:val="lowerRoman"/>
      <w:lvlText w:val="%9."/>
      <w:lvlJc w:val="right"/>
      <w:pPr>
        <w:ind w:left="4880" w:hanging="480"/>
      </w:pPr>
      <w:rPr>
        <w:rFonts w:cs="Times New Roman"/>
      </w:rPr>
    </w:lvl>
  </w:abstractNum>
  <w:abstractNum w:abstractNumId="2">
    <w:nsid w:val="207449D2"/>
    <w:multiLevelType w:val="multilevel"/>
    <w:tmpl w:val="207449D2"/>
    <w:lvl w:ilvl="0" w:tentative="0">
      <w:start w:val="1"/>
      <w:numFmt w:val="japaneseCounting"/>
      <w:lvlText w:val="（%1）"/>
      <w:lvlJc w:val="left"/>
      <w:pPr>
        <w:ind w:left="1360" w:hanging="820"/>
      </w:pPr>
      <w:rPr>
        <w:rFonts w:hint="eastAsia" w:cs="Times New Roman"/>
      </w:rPr>
    </w:lvl>
    <w:lvl w:ilvl="1" w:tentative="0">
      <w:start w:val="1"/>
      <w:numFmt w:val="lowerLetter"/>
      <w:lvlText w:val="%2)"/>
      <w:lvlJc w:val="left"/>
      <w:pPr>
        <w:ind w:left="1500" w:hanging="480"/>
      </w:pPr>
      <w:rPr>
        <w:rFonts w:cs="Times New Roman"/>
      </w:rPr>
    </w:lvl>
    <w:lvl w:ilvl="2" w:tentative="0">
      <w:start w:val="1"/>
      <w:numFmt w:val="lowerRoman"/>
      <w:lvlText w:val="%3."/>
      <w:lvlJc w:val="right"/>
      <w:pPr>
        <w:ind w:left="1980" w:hanging="480"/>
      </w:pPr>
      <w:rPr>
        <w:rFonts w:cs="Times New Roman"/>
      </w:rPr>
    </w:lvl>
    <w:lvl w:ilvl="3" w:tentative="0">
      <w:start w:val="1"/>
      <w:numFmt w:val="decimal"/>
      <w:lvlText w:val="%4."/>
      <w:lvlJc w:val="left"/>
      <w:pPr>
        <w:ind w:left="2460" w:hanging="480"/>
      </w:pPr>
      <w:rPr>
        <w:rFonts w:cs="Times New Roman"/>
      </w:rPr>
    </w:lvl>
    <w:lvl w:ilvl="4" w:tentative="0">
      <w:start w:val="1"/>
      <w:numFmt w:val="lowerLetter"/>
      <w:lvlText w:val="%5)"/>
      <w:lvlJc w:val="left"/>
      <w:pPr>
        <w:ind w:left="2940" w:hanging="480"/>
      </w:pPr>
      <w:rPr>
        <w:rFonts w:cs="Times New Roman"/>
      </w:rPr>
    </w:lvl>
    <w:lvl w:ilvl="5" w:tentative="0">
      <w:start w:val="1"/>
      <w:numFmt w:val="lowerRoman"/>
      <w:lvlText w:val="%6."/>
      <w:lvlJc w:val="right"/>
      <w:pPr>
        <w:ind w:left="3420" w:hanging="480"/>
      </w:pPr>
      <w:rPr>
        <w:rFonts w:cs="Times New Roman"/>
      </w:rPr>
    </w:lvl>
    <w:lvl w:ilvl="6" w:tentative="0">
      <w:start w:val="1"/>
      <w:numFmt w:val="decimal"/>
      <w:lvlText w:val="%7."/>
      <w:lvlJc w:val="left"/>
      <w:pPr>
        <w:ind w:left="3900" w:hanging="480"/>
      </w:pPr>
      <w:rPr>
        <w:rFonts w:cs="Times New Roman"/>
      </w:rPr>
    </w:lvl>
    <w:lvl w:ilvl="7" w:tentative="0">
      <w:start w:val="1"/>
      <w:numFmt w:val="lowerLetter"/>
      <w:lvlText w:val="%8)"/>
      <w:lvlJc w:val="left"/>
      <w:pPr>
        <w:ind w:left="4380" w:hanging="480"/>
      </w:pPr>
      <w:rPr>
        <w:rFonts w:cs="Times New Roman"/>
      </w:rPr>
    </w:lvl>
    <w:lvl w:ilvl="8" w:tentative="0">
      <w:start w:val="1"/>
      <w:numFmt w:val="lowerRoman"/>
      <w:lvlText w:val="%9."/>
      <w:lvlJc w:val="right"/>
      <w:pPr>
        <w:ind w:left="4860" w:hanging="480"/>
      </w:pPr>
      <w:rPr>
        <w:rFonts w:cs="Times New Roman"/>
      </w:rPr>
    </w:lvl>
  </w:abstractNum>
  <w:abstractNum w:abstractNumId="3">
    <w:nsid w:val="5A262EB6"/>
    <w:multiLevelType w:val="multilevel"/>
    <w:tmpl w:val="5A262EB6"/>
    <w:lvl w:ilvl="0" w:tentative="0">
      <w:start w:val="1"/>
      <w:numFmt w:val="decimal"/>
      <w:lvlText w:val="（%1）"/>
      <w:lvlJc w:val="left"/>
      <w:pPr>
        <w:ind w:left="1482" w:hanging="705"/>
      </w:pPr>
      <w:rPr>
        <w:rFonts w:hint="default" w:ascii="宋体" w:hAnsi="宋体" w:eastAsia="宋体" w:cs="宋体"/>
        <w:spacing w:val="-1"/>
        <w:w w:val="100"/>
        <w:sz w:val="26"/>
        <w:szCs w:val="26"/>
      </w:rPr>
    </w:lvl>
    <w:lvl w:ilvl="1" w:tentative="0">
      <w:start w:val="0"/>
      <w:numFmt w:val="bullet"/>
      <w:lvlText w:val="•"/>
      <w:lvlJc w:val="left"/>
      <w:pPr>
        <w:ind w:left="2286" w:hanging="705"/>
      </w:pPr>
      <w:rPr>
        <w:rFonts w:hint="default"/>
      </w:rPr>
    </w:lvl>
    <w:lvl w:ilvl="2" w:tentative="0">
      <w:start w:val="0"/>
      <w:numFmt w:val="bullet"/>
      <w:lvlText w:val="•"/>
      <w:lvlJc w:val="left"/>
      <w:pPr>
        <w:ind w:left="3093" w:hanging="705"/>
      </w:pPr>
      <w:rPr>
        <w:rFonts w:hint="default"/>
      </w:rPr>
    </w:lvl>
    <w:lvl w:ilvl="3" w:tentative="0">
      <w:start w:val="0"/>
      <w:numFmt w:val="bullet"/>
      <w:lvlText w:val="•"/>
      <w:lvlJc w:val="left"/>
      <w:pPr>
        <w:ind w:left="3899" w:hanging="705"/>
      </w:pPr>
      <w:rPr>
        <w:rFonts w:hint="default"/>
      </w:rPr>
    </w:lvl>
    <w:lvl w:ilvl="4" w:tentative="0">
      <w:start w:val="0"/>
      <w:numFmt w:val="bullet"/>
      <w:lvlText w:val="•"/>
      <w:lvlJc w:val="left"/>
      <w:pPr>
        <w:ind w:left="4706" w:hanging="705"/>
      </w:pPr>
      <w:rPr>
        <w:rFonts w:hint="default"/>
      </w:rPr>
    </w:lvl>
    <w:lvl w:ilvl="5" w:tentative="0">
      <w:start w:val="0"/>
      <w:numFmt w:val="bullet"/>
      <w:lvlText w:val="•"/>
      <w:lvlJc w:val="left"/>
      <w:pPr>
        <w:ind w:left="5513" w:hanging="705"/>
      </w:pPr>
      <w:rPr>
        <w:rFonts w:hint="default"/>
      </w:rPr>
    </w:lvl>
    <w:lvl w:ilvl="6" w:tentative="0">
      <w:start w:val="0"/>
      <w:numFmt w:val="bullet"/>
      <w:lvlText w:val="•"/>
      <w:lvlJc w:val="left"/>
      <w:pPr>
        <w:ind w:left="6319" w:hanging="705"/>
      </w:pPr>
      <w:rPr>
        <w:rFonts w:hint="default"/>
      </w:rPr>
    </w:lvl>
    <w:lvl w:ilvl="7" w:tentative="0">
      <w:start w:val="0"/>
      <w:numFmt w:val="bullet"/>
      <w:lvlText w:val="•"/>
      <w:lvlJc w:val="left"/>
      <w:pPr>
        <w:ind w:left="7126" w:hanging="705"/>
      </w:pPr>
      <w:rPr>
        <w:rFonts w:hint="default"/>
      </w:rPr>
    </w:lvl>
    <w:lvl w:ilvl="8" w:tentative="0">
      <w:start w:val="0"/>
      <w:numFmt w:val="bullet"/>
      <w:lvlText w:val="•"/>
      <w:lvlJc w:val="left"/>
      <w:pPr>
        <w:ind w:left="7932" w:hanging="705"/>
      </w:pPr>
      <w:rPr>
        <w:rFonts w:hint="default"/>
      </w:rPr>
    </w:lvl>
  </w:abstractNum>
  <w:abstractNum w:abstractNumId="4">
    <w:nsid w:val="6E975E30"/>
    <w:multiLevelType w:val="multilevel"/>
    <w:tmpl w:val="6E975E30"/>
    <w:lvl w:ilvl="0" w:tentative="0">
      <w:start w:val="1"/>
      <w:numFmt w:val="decimal"/>
      <w:lvlText w:val="（%1）"/>
      <w:lvlJc w:val="left"/>
      <w:pPr>
        <w:ind w:left="1280" w:hanging="720"/>
      </w:pPr>
      <w:rPr>
        <w:rFonts w:hint="eastAsia" w:cs="Times New Roman"/>
      </w:rPr>
    </w:lvl>
    <w:lvl w:ilvl="1" w:tentative="0">
      <w:start w:val="1"/>
      <w:numFmt w:val="lowerLetter"/>
      <w:lvlText w:val="%2)"/>
      <w:lvlJc w:val="left"/>
      <w:pPr>
        <w:ind w:left="1520" w:hanging="480"/>
      </w:pPr>
      <w:rPr>
        <w:rFonts w:cs="Times New Roman"/>
      </w:rPr>
    </w:lvl>
    <w:lvl w:ilvl="2" w:tentative="0">
      <w:start w:val="1"/>
      <w:numFmt w:val="lowerRoman"/>
      <w:lvlText w:val="%3."/>
      <w:lvlJc w:val="right"/>
      <w:pPr>
        <w:ind w:left="2000" w:hanging="480"/>
      </w:pPr>
      <w:rPr>
        <w:rFonts w:cs="Times New Roman"/>
      </w:rPr>
    </w:lvl>
    <w:lvl w:ilvl="3" w:tentative="0">
      <w:start w:val="1"/>
      <w:numFmt w:val="decimal"/>
      <w:lvlText w:val="%4."/>
      <w:lvlJc w:val="left"/>
      <w:pPr>
        <w:ind w:left="2480" w:hanging="480"/>
      </w:pPr>
      <w:rPr>
        <w:rFonts w:cs="Times New Roman"/>
      </w:rPr>
    </w:lvl>
    <w:lvl w:ilvl="4" w:tentative="0">
      <w:start w:val="1"/>
      <w:numFmt w:val="lowerLetter"/>
      <w:lvlText w:val="%5)"/>
      <w:lvlJc w:val="left"/>
      <w:pPr>
        <w:ind w:left="2960" w:hanging="480"/>
      </w:pPr>
      <w:rPr>
        <w:rFonts w:cs="Times New Roman"/>
      </w:rPr>
    </w:lvl>
    <w:lvl w:ilvl="5" w:tentative="0">
      <w:start w:val="1"/>
      <w:numFmt w:val="lowerRoman"/>
      <w:lvlText w:val="%6."/>
      <w:lvlJc w:val="right"/>
      <w:pPr>
        <w:ind w:left="3440" w:hanging="480"/>
      </w:pPr>
      <w:rPr>
        <w:rFonts w:cs="Times New Roman"/>
      </w:rPr>
    </w:lvl>
    <w:lvl w:ilvl="6" w:tentative="0">
      <w:start w:val="1"/>
      <w:numFmt w:val="decimal"/>
      <w:lvlText w:val="%7."/>
      <w:lvlJc w:val="left"/>
      <w:pPr>
        <w:ind w:left="3920" w:hanging="480"/>
      </w:pPr>
      <w:rPr>
        <w:rFonts w:cs="Times New Roman"/>
      </w:rPr>
    </w:lvl>
    <w:lvl w:ilvl="7" w:tentative="0">
      <w:start w:val="1"/>
      <w:numFmt w:val="lowerLetter"/>
      <w:lvlText w:val="%8)"/>
      <w:lvlJc w:val="left"/>
      <w:pPr>
        <w:ind w:left="4400" w:hanging="480"/>
      </w:pPr>
      <w:rPr>
        <w:rFonts w:cs="Times New Roman"/>
      </w:rPr>
    </w:lvl>
    <w:lvl w:ilvl="8" w:tentative="0">
      <w:start w:val="1"/>
      <w:numFmt w:val="lowerRoman"/>
      <w:lvlText w:val="%9."/>
      <w:lvlJc w:val="right"/>
      <w:pPr>
        <w:ind w:left="4880" w:hanging="48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A021CD4"/>
    <w:rsid w:val="0004163B"/>
    <w:rsid w:val="0006126C"/>
    <w:rsid w:val="00081D37"/>
    <w:rsid w:val="000F1D17"/>
    <w:rsid w:val="0010158D"/>
    <w:rsid w:val="001248B2"/>
    <w:rsid w:val="0017068B"/>
    <w:rsid w:val="001B1840"/>
    <w:rsid w:val="001E154F"/>
    <w:rsid w:val="00221CFB"/>
    <w:rsid w:val="002A7C03"/>
    <w:rsid w:val="002D43E7"/>
    <w:rsid w:val="002E696C"/>
    <w:rsid w:val="003121E9"/>
    <w:rsid w:val="003500BF"/>
    <w:rsid w:val="00354799"/>
    <w:rsid w:val="00362FD2"/>
    <w:rsid w:val="003655F8"/>
    <w:rsid w:val="003C0CC5"/>
    <w:rsid w:val="003F5E98"/>
    <w:rsid w:val="004322B3"/>
    <w:rsid w:val="00434220"/>
    <w:rsid w:val="00444243"/>
    <w:rsid w:val="0046606A"/>
    <w:rsid w:val="00475EE3"/>
    <w:rsid w:val="004D6FFE"/>
    <w:rsid w:val="005149BD"/>
    <w:rsid w:val="005A5F97"/>
    <w:rsid w:val="005E1202"/>
    <w:rsid w:val="005F52FD"/>
    <w:rsid w:val="00651CB2"/>
    <w:rsid w:val="00680EF6"/>
    <w:rsid w:val="00695D75"/>
    <w:rsid w:val="006B380E"/>
    <w:rsid w:val="00711453"/>
    <w:rsid w:val="0075317B"/>
    <w:rsid w:val="00763BC7"/>
    <w:rsid w:val="00777121"/>
    <w:rsid w:val="00787090"/>
    <w:rsid w:val="007B07AC"/>
    <w:rsid w:val="007C4D1C"/>
    <w:rsid w:val="007D545F"/>
    <w:rsid w:val="0080786F"/>
    <w:rsid w:val="008239C9"/>
    <w:rsid w:val="008A4B5B"/>
    <w:rsid w:val="008B12FA"/>
    <w:rsid w:val="008B1D91"/>
    <w:rsid w:val="008C494C"/>
    <w:rsid w:val="008C6CEE"/>
    <w:rsid w:val="008F7CA5"/>
    <w:rsid w:val="00947F8F"/>
    <w:rsid w:val="00970F16"/>
    <w:rsid w:val="00985B11"/>
    <w:rsid w:val="00AB3C26"/>
    <w:rsid w:val="00AB3F9F"/>
    <w:rsid w:val="00AB47B9"/>
    <w:rsid w:val="00AC2325"/>
    <w:rsid w:val="00AD14C6"/>
    <w:rsid w:val="00AE0091"/>
    <w:rsid w:val="00AF6151"/>
    <w:rsid w:val="00B17586"/>
    <w:rsid w:val="00B21248"/>
    <w:rsid w:val="00B74BB6"/>
    <w:rsid w:val="00B9253D"/>
    <w:rsid w:val="00BF2567"/>
    <w:rsid w:val="00BF3842"/>
    <w:rsid w:val="00C0380C"/>
    <w:rsid w:val="00C03A81"/>
    <w:rsid w:val="00C33292"/>
    <w:rsid w:val="00C404F8"/>
    <w:rsid w:val="00C41D59"/>
    <w:rsid w:val="00C511C7"/>
    <w:rsid w:val="00C932D3"/>
    <w:rsid w:val="00CC67FB"/>
    <w:rsid w:val="00DB2D0A"/>
    <w:rsid w:val="00DB3E94"/>
    <w:rsid w:val="00E01835"/>
    <w:rsid w:val="00E27A86"/>
    <w:rsid w:val="00E908EB"/>
    <w:rsid w:val="00E97471"/>
    <w:rsid w:val="00EC7694"/>
    <w:rsid w:val="00F2439E"/>
    <w:rsid w:val="00F75380"/>
    <w:rsid w:val="00F870ED"/>
    <w:rsid w:val="00F92357"/>
    <w:rsid w:val="00F956D6"/>
    <w:rsid w:val="00F968E1"/>
    <w:rsid w:val="00FA05B2"/>
    <w:rsid w:val="00FA61D7"/>
    <w:rsid w:val="072B759C"/>
    <w:rsid w:val="0B366584"/>
    <w:rsid w:val="21927139"/>
    <w:rsid w:val="26F011C0"/>
    <w:rsid w:val="29117C04"/>
    <w:rsid w:val="2A021CD4"/>
    <w:rsid w:val="33492BD0"/>
    <w:rsid w:val="3F3346E7"/>
    <w:rsid w:val="58CA2269"/>
    <w:rsid w:val="5BDE3DFA"/>
    <w:rsid w:val="5DF55184"/>
    <w:rsid w:val="5E694C7D"/>
    <w:rsid w:val="638F16FA"/>
    <w:rsid w:val="758B77B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zh-CN" w:bidi="ar-SA"/>
    </w:rPr>
  </w:style>
  <w:style w:type="paragraph" w:styleId="2">
    <w:name w:val="heading 1"/>
    <w:basedOn w:val="1"/>
    <w:next w:val="1"/>
    <w:link w:val="7"/>
    <w:qFormat/>
    <w:uiPriority w:val="99"/>
    <w:pPr>
      <w:ind w:left="218"/>
      <w:outlineLvl w:val="0"/>
    </w:pPr>
    <w:rPr>
      <w:rFonts w:ascii="Microsoft JhengHei" w:hAnsi="Microsoft JhengHei" w:eastAsia="Microsoft JhengHei" w:cs="Microsoft JhengHei"/>
      <w:b/>
      <w:bCs/>
      <w:sz w:val="30"/>
      <w:szCs w:val="30"/>
    </w:rPr>
  </w:style>
  <w:style w:type="paragraph" w:styleId="3">
    <w:name w:val="heading 2"/>
    <w:basedOn w:val="1"/>
    <w:next w:val="1"/>
    <w:link w:val="8"/>
    <w:qFormat/>
    <w:uiPriority w:val="99"/>
    <w:pPr>
      <w:ind w:left="218"/>
      <w:outlineLvl w:val="1"/>
    </w:pPr>
    <w:rPr>
      <w:rFonts w:ascii="Microsoft JhengHei" w:hAnsi="Microsoft JhengHei" w:eastAsia="Microsoft JhengHei" w:cs="Microsoft JhengHei"/>
      <w:b/>
      <w:bCs/>
      <w:sz w:val="28"/>
      <w:szCs w:val="28"/>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9"/>
    <w:qFormat/>
    <w:uiPriority w:val="99"/>
    <w:pPr>
      <w:ind w:left="218"/>
    </w:pPr>
    <w:rPr>
      <w:sz w:val="28"/>
      <w:szCs w:val="28"/>
    </w:rPr>
  </w:style>
  <w:style w:type="character" w:customStyle="1" w:styleId="7">
    <w:name w:val="Heading 1 Char"/>
    <w:basedOn w:val="6"/>
    <w:link w:val="2"/>
    <w:qFormat/>
    <w:locked/>
    <w:uiPriority w:val="99"/>
    <w:rPr>
      <w:rFonts w:ascii="宋体" w:eastAsia="宋体" w:cs="宋体"/>
      <w:b/>
      <w:bCs/>
      <w:kern w:val="44"/>
      <w:sz w:val="44"/>
      <w:szCs w:val="44"/>
    </w:rPr>
  </w:style>
  <w:style w:type="character" w:customStyle="1" w:styleId="8">
    <w:name w:val="Heading 2 Char"/>
    <w:basedOn w:val="6"/>
    <w:link w:val="3"/>
    <w:semiHidden/>
    <w:qFormat/>
    <w:locked/>
    <w:uiPriority w:val="99"/>
    <w:rPr>
      <w:rFonts w:ascii="Cambria" w:hAnsi="Cambria" w:eastAsia="宋体" w:cs="Times New Roman"/>
      <w:b/>
      <w:bCs/>
      <w:kern w:val="0"/>
      <w:sz w:val="32"/>
      <w:szCs w:val="32"/>
    </w:rPr>
  </w:style>
  <w:style w:type="character" w:customStyle="1" w:styleId="9">
    <w:name w:val="Body Text Char"/>
    <w:basedOn w:val="6"/>
    <w:link w:val="4"/>
    <w:semiHidden/>
    <w:qFormat/>
    <w:locked/>
    <w:uiPriority w:val="99"/>
    <w:rPr>
      <w:rFonts w:ascii="宋体" w:eastAsia="宋体" w:cs="宋体"/>
      <w:kern w:val="0"/>
      <w:sz w:val="22"/>
    </w:rPr>
  </w:style>
  <w:style w:type="paragraph" w:styleId="10">
    <w:name w:val="List Paragraph"/>
    <w:basedOn w:val="1"/>
    <w:qFormat/>
    <w:uiPriority w:val="99"/>
    <w:pPr>
      <w:ind w:left="218" w:firstLine="559"/>
    </w:pPr>
  </w:style>
  <w:style w:type="paragraph" w:customStyle="1" w:styleId="11">
    <w:name w:val="Table Paragraph"/>
    <w:basedOn w:val="1"/>
    <w:qFormat/>
    <w:uiPriority w:val="99"/>
  </w:style>
  <w:style w:type="table" w:customStyle="1" w:styleId="12">
    <w:name w:val="Table Normal1"/>
    <w:semiHidden/>
    <w:qFormat/>
    <w:uiPriority w:val="99"/>
    <w:rPr>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24</Pages>
  <Words>1804</Words>
  <Characters>10284</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2021-04-20T14:40:00Z</dcterms:created>
  <dc:creator>on</dc:creator>
  <cp:lastModifiedBy>Administrator</cp:lastModifiedBy>
  <dcterms:modified xsi:type="dcterms:W3CDTF">2021-04-21T09:58:04Z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7EA663A3B857409DA85A1269A8447A40</vt:lpwstr>
  </property>
</Properties>
</file>