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cs="宋体"/>
          <w:color w:val="000000" w:themeColor="text1"/>
          <w:kern w:val="0"/>
          <w:sz w:val="36"/>
          <w:szCs w:val="36"/>
          <w14:textFill>
            <w14:solidFill>
              <w14:schemeClr w14:val="tx1"/>
            </w14:solidFill>
          </w14:textFill>
        </w:rPr>
      </w:pPr>
    </w:p>
    <w:p>
      <w:pPr>
        <w:widowControl/>
        <w:jc w:val="center"/>
        <w:rPr>
          <w:rFonts w:ascii="宋体" w:hAnsi="宋体" w:cs="宋体"/>
          <w:color w:val="000000" w:themeColor="text1"/>
          <w:kern w:val="0"/>
          <w:sz w:val="36"/>
          <w:szCs w:val="36"/>
          <w14:textFill>
            <w14:solidFill>
              <w14:schemeClr w14:val="tx1"/>
            </w14:solidFill>
          </w14:textFill>
        </w:rPr>
      </w:pPr>
    </w:p>
    <w:p>
      <w:pPr>
        <w:widowControl/>
        <w:jc w:val="center"/>
        <w:rPr>
          <w:rFonts w:ascii="方正小标宋简体" w:hAnsi="方正小标宋简体" w:eastAsia="方正小标宋简体" w:cs="方正小标宋简体"/>
          <w:color w:val="000000" w:themeColor="text1"/>
          <w:kern w:val="0"/>
          <w:sz w:val="52"/>
          <w:szCs w:val="52"/>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52"/>
          <w:szCs w:val="52"/>
          <w14:textFill>
            <w14:solidFill>
              <w14:schemeClr w14:val="tx1"/>
            </w14:solidFill>
          </w14:textFill>
        </w:rPr>
        <w:t xml:space="preserve">   </w:t>
      </w:r>
    </w:p>
    <w:p>
      <w:pPr>
        <w:widowControl/>
        <w:jc w:val="center"/>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鄂尔多斯生态环境</w:t>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职业学院</w:t>
      </w:r>
    </w:p>
    <w:p>
      <w:pPr>
        <w:widowControl/>
        <w:jc w:val="center"/>
        <w:rPr>
          <w:rFonts w:hint="default"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机电工程系发电厂及电力系统</w:t>
      </w:r>
    </w:p>
    <w:p>
      <w:pPr>
        <w:widowControl/>
        <w:jc w:val="center"/>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三年制高职人才培养方案</w:t>
      </w:r>
    </w:p>
    <w:p>
      <w:pPr>
        <w:widowControl/>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p>
    <w:p>
      <w:pPr>
        <w:widowControl/>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p>
    <w:tbl>
      <w:tblPr>
        <w:tblStyle w:val="28"/>
        <w:tblW w:w="0" w:type="auto"/>
        <w:tblInd w:w="7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8"/>
        <w:gridCol w:w="5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Pr>
          <w:p>
            <w:pPr>
              <w:widowControl/>
              <w:jc w:val="center"/>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专业</w:t>
            </w:r>
          </w:p>
        </w:tc>
        <w:tc>
          <w:tcPr>
            <w:tcW w:w="5457" w:type="dxa"/>
          </w:tcPr>
          <w:p>
            <w:pPr>
              <w:widowControl/>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发电厂及电力系统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Pr>
          <w:p>
            <w:pPr>
              <w:widowControl/>
              <w:jc w:val="center"/>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制订人</w:t>
            </w:r>
          </w:p>
        </w:tc>
        <w:tc>
          <w:tcPr>
            <w:tcW w:w="5457" w:type="dxa"/>
          </w:tcPr>
          <w:p>
            <w:pPr>
              <w:widowControl/>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魏璟瑜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Pr>
          <w:p>
            <w:pPr>
              <w:widowControl/>
              <w:jc w:val="center"/>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审核人</w:t>
            </w:r>
          </w:p>
        </w:tc>
        <w:tc>
          <w:tcPr>
            <w:tcW w:w="5457" w:type="dxa"/>
          </w:tcPr>
          <w:p>
            <w:pPr>
              <w:widowControl/>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王来生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Pr>
          <w:p>
            <w:pPr>
              <w:widowControl/>
              <w:jc w:val="center"/>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制定日期</w:t>
            </w:r>
          </w:p>
        </w:tc>
        <w:tc>
          <w:tcPr>
            <w:tcW w:w="5457" w:type="dxa"/>
          </w:tcPr>
          <w:p>
            <w:pPr>
              <w:widowControl/>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w:t>
            </w:r>
            <w:r>
              <w:rPr>
                <w:rFonts w:ascii="仿宋_GB2312" w:hAnsi="仿宋_GB2312" w:eastAsia="仿宋_GB2312" w:cs="仿宋_GB2312"/>
                <w:color w:val="000000" w:themeColor="text1"/>
                <w:kern w:val="0"/>
                <w:sz w:val="32"/>
                <w:szCs w:val="32"/>
                <w14:textFill>
                  <w14:solidFill>
                    <w14:schemeClr w14:val="tx1"/>
                  </w14:solidFill>
                </w14:textFill>
              </w:rPr>
              <w:t>022.11</w:t>
            </w:r>
          </w:p>
        </w:tc>
      </w:tr>
    </w:tbl>
    <w:p>
      <w:pPr>
        <w:widowControl/>
        <w:jc w:val="left"/>
        <w:rPr>
          <w:rFonts w:ascii="仿宋_GB2312" w:hAnsi="仿宋_GB2312" w:eastAsia="仿宋_GB2312" w:cs="仿宋_GB2312"/>
          <w:color w:val="000000" w:themeColor="text1"/>
          <w:kern w:val="0"/>
          <w:sz w:val="32"/>
          <w:szCs w:val="32"/>
          <w14:textFill>
            <w14:solidFill>
              <w14:schemeClr w14:val="tx1"/>
            </w14:solidFill>
          </w14:textFill>
        </w:rPr>
      </w:pPr>
    </w:p>
    <w:p>
      <w:pPr>
        <w:widowControl/>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p>
    <w:p>
      <w:pPr>
        <w:widowControl/>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p>
    <w:p>
      <w:pPr>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sdt>
      <w:sdtPr>
        <w:rPr>
          <w:rFonts w:hint="eastAsia" w:ascii="方正小标宋简体" w:hAnsi="方正小标宋简体" w:eastAsia="方正小标宋简体" w:cs="方正小标宋简体"/>
          <w:color w:val="000000" w:themeColor="text1"/>
          <w:sz w:val="44"/>
          <w:szCs w:val="44"/>
          <w14:textFill>
            <w14:solidFill>
              <w14:schemeClr w14:val="tx1"/>
            </w14:solidFill>
          </w14:textFill>
        </w:rPr>
        <w:id w:val="147469859"/>
        <w15:color w:val="DBDBDB"/>
        <w:docPartObj>
          <w:docPartGallery w:val="Table of Contents"/>
          <w:docPartUnique/>
        </w:docPartObj>
      </w:sdtPr>
      <w:sdtEndPr>
        <w:rPr>
          <w:rFonts w:hint="eastAsia" w:ascii="Segoe UI Variable Text" w:hAnsi="Segoe UI Variable Text" w:eastAsia="Segoe UI Variable Text" w:cs="Segoe UI Variable Text"/>
          <w:color w:val="000000" w:themeColor="text1"/>
          <w:sz w:val="21"/>
          <w:szCs w:val="22"/>
          <w14:textFill>
            <w14:solidFill>
              <w14:schemeClr w14:val="tx1"/>
            </w14:solidFill>
          </w14:textFill>
        </w:rPr>
      </w:sdtEndPr>
      <w:sdtContent>
        <w:p>
          <w:pPr>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目录</w:t>
          </w:r>
        </w:p>
        <w:p>
          <w:pPr>
            <w:pStyle w:val="17"/>
            <w:tabs>
              <w:tab w:val="right" w:leader="dot" w:pos="8845"/>
            </w:tabs>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"1-3" \h \u </w:instrText>
          </w:r>
          <w:r>
            <w:rPr>
              <w:color w:val="000000" w:themeColor="text1"/>
              <w14:textFill>
                <w14:solidFill>
                  <w14:schemeClr w14:val="tx1"/>
                </w14:solidFill>
              </w14:textFill>
            </w:rPr>
            <w:fldChar w:fldCharType="separate"/>
          </w:r>
          <w:r>
            <w:fldChar w:fldCharType="begin"/>
          </w:r>
          <w:r>
            <w:instrText xml:space="preserve"> HYPERLINK \l "_Toc30087" </w:instrText>
          </w:r>
          <w:r>
            <w:fldChar w:fldCharType="separate"/>
          </w:r>
          <w:r>
            <w:rPr>
              <w:rFonts w:hint="eastAsia" w:ascii="黑体" w:hAnsi="黑体" w:eastAsia="黑体" w:cs="黑体"/>
              <w:bCs/>
              <w:szCs w:val="28"/>
            </w:rPr>
            <w:t>一、专业名称（专业代码）</w:t>
          </w:r>
          <w:r>
            <w:tab/>
          </w:r>
          <w:r>
            <w:fldChar w:fldCharType="begin"/>
          </w:r>
          <w:r>
            <w:instrText xml:space="preserve"> PAGEREF _Toc30087 \h </w:instrText>
          </w:r>
          <w:r>
            <w:fldChar w:fldCharType="separate"/>
          </w:r>
          <w:r>
            <w:t>3</w:t>
          </w:r>
          <w:r>
            <w:fldChar w:fldCharType="end"/>
          </w:r>
          <w:r>
            <w:fldChar w:fldCharType="end"/>
          </w:r>
        </w:p>
        <w:p>
          <w:pPr>
            <w:pStyle w:val="17"/>
            <w:tabs>
              <w:tab w:val="right" w:leader="dot" w:pos="8845"/>
            </w:tabs>
          </w:pPr>
          <w:r>
            <w:fldChar w:fldCharType="begin"/>
          </w:r>
          <w:r>
            <w:instrText xml:space="preserve"> HYPERLINK \l "_Toc10415" </w:instrText>
          </w:r>
          <w:r>
            <w:fldChar w:fldCharType="separate"/>
          </w:r>
          <w:r>
            <w:rPr>
              <w:rFonts w:hint="eastAsia" w:ascii="黑体" w:hAnsi="黑体" w:eastAsia="黑体" w:cs="黑体"/>
              <w:bCs/>
              <w:szCs w:val="28"/>
            </w:rPr>
            <w:t>二、入学要求</w:t>
          </w:r>
          <w:r>
            <w:tab/>
          </w:r>
          <w:r>
            <w:fldChar w:fldCharType="begin"/>
          </w:r>
          <w:r>
            <w:instrText xml:space="preserve"> PAGEREF _Toc10415 \h </w:instrText>
          </w:r>
          <w:r>
            <w:fldChar w:fldCharType="separate"/>
          </w:r>
          <w:r>
            <w:t>3</w:t>
          </w:r>
          <w:r>
            <w:fldChar w:fldCharType="end"/>
          </w:r>
          <w:r>
            <w:fldChar w:fldCharType="end"/>
          </w:r>
        </w:p>
        <w:p>
          <w:pPr>
            <w:pStyle w:val="17"/>
            <w:tabs>
              <w:tab w:val="right" w:leader="dot" w:pos="8845"/>
            </w:tabs>
          </w:pPr>
          <w:r>
            <w:fldChar w:fldCharType="begin"/>
          </w:r>
          <w:r>
            <w:instrText xml:space="preserve"> HYPERLINK \l "_Toc20397" </w:instrText>
          </w:r>
          <w:r>
            <w:fldChar w:fldCharType="separate"/>
          </w:r>
          <w:r>
            <w:rPr>
              <w:rFonts w:hint="eastAsia" w:ascii="黑体" w:hAnsi="黑体" w:eastAsia="黑体" w:cs="黑体"/>
              <w:bCs/>
              <w:szCs w:val="28"/>
            </w:rPr>
            <w:t>三、修业年限及学历</w:t>
          </w:r>
          <w:r>
            <w:tab/>
          </w:r>
          <w:r>
            <w:fldChar w:fldCharType="begin"/>
          </w:r>
          <w:r>
            <w:instrText xml:space="preserve"> PAGEREF _Toc20397 \h </w:instrText>
          </w:r>
          <w:r>
            <w:fldChar w:fldCharType="separate"/>
          </w:r>
          <w:r>
            <w:t>3</w:t>
          </w:r>
          <w:r>
            <w:fldChar w:fldCharType="end"/>
          </w:r>
          <w:r>
            <w:fldChar w:fldCharType="end"/>
          </w:r>
        </w:p>
        <w:p>
          <w:pPr>
            <w:pStyle w:val="17"/>
            <w:tabs>
              <w:tab w:val="right" w:leader="dot" w:pos="8845"/>
            </w:tabs>
          </w:pPr>
          <w:r>
            <w:fldChar w:fldCharType="begin"/>
          </w:r>
          <w:r>
            <w:instrText xml:space="preserve"> HYPERLINK \l "_Toc27009" </w:instrText>
          </w:r>
          <w:r>
            <w:fldChar w:fldCharType="separate"/>
          </w:r>
          <w:r>
            <w:rPr>
              <w:rFonts w:hint="eastAsia" w:ascii="黑体" w:hAnsi="黑体" w:eastAsia="黑体" w:cs="黑体"/>
              <w:bCs/>
              <w:szCs w:val="28"/>
            </w:rPr>
            <w:t>四、职业面向</w:t>
          </w:r>
          <w:r>
            <w:tab/>
          </w:r>
          <w:r>
            <w:fldChar w:fldCharType="begin"/>
          </w:r>
          <w:r>
            <w:instrText xml:space="preserve"> PAGEREF _Toc27009 \h </w:instrText>
          </w:r>
          <w:r>
            <w:fldChar w:fldCharType="separate"/>
          </w:r>
          <w:r>
            <w:t>3</w:t>
          </w:r>
          <w:r>
            <w:fldChar w:fldCharType="end"/>
          </w:r>
          <w:r>
            <w:fldChar w:fldCharType="end"/>
          </w:r>
        </w:p>
        <w:p>
          <w:pPr>
            <w:pStyle w:val="21"/>
            <w:tabs>
              <w:tab w:val="right" w:leader="dot" w:pos="8845"/>
            </w:tabs>
          </w:pPr>
          <w:r>
            <w:fldChar w:fldCharType="begin"/>
          </w:r>
          <w:r>
            <w:instrText xml:space="preserve"> HYPERLINK \l "_Toc16142" </w:instrText>
          </w:r>
          <w:r>
            <w:fldChar w:fldCharType="separate"/>
          </w:r>
          <w:r>
            <w:rPr>
              <w:rFonts w:hint="eastAsia" w:ascii="楷体_GB2312" w:hAnsi="楷体_GB2312" w:eastAsia="楷体_GB2312" w:cs="楷体_GB2312"/>
              <w:szCs w:val="28"/>
            </w:rPr>
            <w:t>（一）本专业职业面向（参照专业教学标准填写）</w:t>
          </w:r>
          <w:r>
            <w:tab/>
          </w:r>
          <w:r>
            <w:fldChar w:fldCharType="begin"/>
          </w:r>
          <w:r>
            <w:instrText xml:space="preserve"> PAGEREF _Toc16142 \h </w:instrText>
          </w:r>
          <w:r>
            <w:fldChar w:fldCharType="separate"/>
          </w:r>
          <w:r>
            <w:t>3</w:t>
          </w:r>
          <w:r>
            <w:fldChar w:fldCharType="end"/>
          </w:r>
          <w:r>
            <w:fldChar w:fldCharType="end"/>
          </w:r>
        </w:p>
        <w:p>
          <w:pPr>
            <w:pStyle w:val="21"/>
            <w:tabs>
              <w:tab w:val="right" w:leader="dot" w:pos="8845"/>
            </w:tabs>
          </w:pPr>
          <w:r>
            <w:fldChar w:fldCharType="begin"/>
          </w:r>
          <w:r>
            <w:instrText xml:space="preserve"> HYPERLINK \l "_Toc9981" </w:instrText>
          </w:r>
          <w:r>
            <w:fldChar w:fldCharType="separate"/>
          </w:r>
          <w:r>
            <w:rPr>
              <w:rFonts w:hint="eastAsia" w:ascii="楷体_GB2312" w:hAnsi="楷体_GB2312" w:eastAsia="楷体_GB2312" w:cs="楷体_GB2312"/>
              <w:szCs w:val="28"/>
            </w:rPr>
            <w:t>（二）职业等级证书、行业企业标准和证书</w:t>
          </w:r>
          <w:r>
            <w:tab/>
          </w:r>
          <w:r>
            <w:fldChar w:fldCharType="begin"/>
          </w:r>
          <w:r>
            <w:instrText xml:space="preserve"> PAGEREF _Toc9981 \h </w:instrText>
          </w:r>
          <w:r>
            <w:fldChar w:fldCharType="separate"/>
          </w:r>
          <w:r>
            <w:t>3</w:t>
          </w:r>
          <w:r>
            <w:fldChar w:fldCharType="end"/>
          </w:r>
          <w:r>
            <w:fldChar w:fldCharType="end"/>
          </w:r>
        </w:p>
        <w:p>
          <w:pPr>
            <w:pStyle w:val="21"/>
            <w:tabs>
              <w:tab w:val="right" w:leader="dot" w:pos="8845"/>
            </w:tabs>
          </w:pPr>
          <w:r>
            <w:fldChar w:fldCharType="begin"/>
          </w:r>
          <w:r>
            <w:instrText xml:space="preserve"> HYPERLINK \l "_Toc93" </w:instrText>
          </w:r>
          <w:r>
            <w:fldChar w:fldCharType="separate"/>
          </w:r>
          <w:r>
            <w:rPr>
              <w:rFonts w:hint="eastAsia" w:ascii="仿宋_GB2312" w:hAnsi="仿宋_GB2312" w:eastAsia="仿宋_GB2312" w:cs="仿宋_GB2312"/>
              <w:szCs w:val="28"/>
            </w:rPr>
            <w:t>1.通用证书</w:t>
          </w:r>
          <w:r>
            <w:tab/>
          </w:r>
          <w:r>
            <w:fldChar w:fldCharType="begin"/>
          </w:r>
          <w:r>
            <w:instrText xml:space="preserve"> PAGEREF _Toc93 \h </w:instrText>
          </w:r>
          <w:r>
            <w:fldChar w:fldCharType="separate"/>
          </w:r>
          <w:r>
            <w:t>3</w:t>
          </w:r>
          <w:r>
            <w:fldChar w:fldCharType="end"/>
          </w:r>
          <w:r>
            <w:fldChar w:fldCharType="end"/>
          </w:r>
        </w:p>
        <w:p>
          <w:pPr>
            <w:pStyle w:val="21"/>
            <w:tabs>
              <w:tab w:val="right" w:leader="dot" w:pos="8845"/>
            </w:tabs>
          </w:pPr>
          <w:r>
            <w:fldChar w:fldCharType="begin"/>
          </w:r>
          <w:r>
            <w:instrText xml:space="preserve"> HYPERLINK \l "_Toc8164" </w:instrText>
          </w:r>
          <w:r>
            <w:fldChar w:fldCharType="separate"/>
          </w:r>
          <w:r>
            <w:rPr>
              <w:rFonts w:hint="eastAsia" w:ascii="仿宋_GB2312" w:hAnsi="仿宋_GB2312" w:eastAsia="仿宋_GB2312" w:cs="仿宋_GB2312"/>
              <w:szCs w:val="28"/>
            </w:rPr>
            <w:t>2.本专业职业资格证书</w:t>
          </w:r>
          <w:r>
            <w:tab/>
          </w:r>
          <w:r>
            <w:fldChar w:fldCharType="begin"/>
          </w:r>
          <w:r>
            <w:instrText xml:space="preserve"> PAGEREF _Toc8164 \h </w:instrText>
          </w:r>
          <w:r>
            <w:fldChar w:fldCharType="separate"/>
          </w:r>
          <w:r>
            <w:t>3</w:t>
          </w:r>
          <w:r>
            <w:fldChar w:fldCharType="end"/>
          </w:r>
          <w:r>
            <w:fldChar w:fldCharType="end"/>
          </w:r>
        </w:p>
        <w:p>
          <w:pPr>
            <w:pStyle w:val="21"/>
            <w:tabs>
              <w:tab w:val="right" w:leader="dot" w:pos="8845"/>
            </w:tabs>
          </w:pPr>
          <w:r>
            <w:fldChar w:fldCharType="begin"/>
          </w:r>
          <w:r>
            <w:instrText xml:space="preserve"> HYPERLINK \l "_Toc24781" </w:instrText>
          </w:r>
          <w:r>
            <w:fldChar w:fldCharType="separate"/>
          </w:r>
          <w:r>
            <w:rPr>
              <w:rFonts w:hint="eastAsia" w:ascii="楷体_GB2312" w:hAnsi="楷体_GB2312" w:eastAsia="楷体_GB2312" w:cs="楷体_GB2312"/>
              <w:szCs w:val="28"/>
            </w:rPr>
            <w:t>（三）职业生涯发展路径</w:t>
          </w:r>
          <w:r>
            <w:tab/>
          </w:r>
          <w:r>
            <w:fldChar w:fldCharType="begin"/>
          </w:r>
          <w:r>
            <w:instrText xml:space="preserve"> PAGEREF _Toc24781 \h </w:instrText>
          </w:r>
          <w:r>
            <w:fldChar w:fldCharType="separate"/>
          </w:r>
          <w:r>
            <w:t>4</w:t>
          </w:r>
          <w:r>
            <w:fldChar w:fldCharType="end"/>
          </w:r>
          <w:r>
            <w:fldChar w:fldCharType="end"/>
          </w:r>
        </w:p>
        <w:p>
          <w:pPr>
            <w:pStyle w:val="17"/>
            <w:tabs>
              <w:tab w:val="right" w:leader="dot" w:pos="8845"/>
            </w:tabs>
          </w:pPr>
          <w:r>
            <w:fldChar w:fldCharType="begin"/>
          </w:r>
          <w:r>
            <w:instrText xml:space="preserve"> HYPERLINK \l "_Toc7860" </w:instrText>
          </w:r>
          <w:r>
            <w:fldChar w:fldCharType="separate"/>
          </w:r>
          <w:r>
            <w:rPr>
              <w:rFonts w:hint="eastAsia" w:ascii="黑体" w:hAnsi="黑体" w:eastAsia="黑体" w:cs="黑体"/>
              <w:bCs/>
              <w:szCs w:val="28"/>
            </w:rPr>
            <w:t>五、培养目标与规格</w:t>
          </w:r>
          <w:r>
            <w:tab/>
          </w:r>
          <w:r>
            <w:fldChar w:fldCharType="begin"/>
          </w:r>
          <w:r>
            <w:instrText xml:space="preserve"> PAGEREF _Toc7860 \h </w:instrText>
          </w:r>
          <w:r>
            <w:fldChar w:fldCharType="separate"/>
          </w:r>
          <w:r>
            <w:t>4</w:t>
          </w:r>
          <w:r>
            <w:fldChar w:fldCharType="end"/>
          </w:r>
          <w:r>
            <w:fldChar w:fldCharType="end"/>
          </w:r>
        </w:p>
        <w:p>
          <w:pPr>
            <w:pStyle w:val="17"/>
            <w:tabs>
              <w:tab w:val="right" w:leader="dot" w:pos="8845"/>
            </w:tabs>
          </w:pPr>
          <w:r>
            <w:fldChar w:fldCharType="begin"/>
          </w:r>
          <w:r>
            <w:instrText xml:space="preserve"> HYPERLINK \l "_Toc31453" </w:instrText>
          </w:r>
          <w:r>
            <w:fldChar w:fldCharType="separate"/>
          </w:r>
          <w:r>
            <w:rPr>
              <w:rFonts w:hint="eastAsia" w:ascii="楷体_GB2312" w:hAnsi="楷体_GB2312" w:eastAsia="楷体_GB2312" w:cs="楷体_GB2312"/>
              <w:bCs/>
              <w:szCs w:val="28"/>
            </w:rPr>
            <w:t>（一）培养目标</w:t>
          </w:r>
          <w:r>
            <w:tab/>
          </w:r>
          <w:r>
            <w:fldChar w:fldCharType="begin"/>
          </w:r>
          <w:r>
            <w:instrText xml:space="preserve"> PAGEREF _Toc31453 \h </w:instrText>
          </w:r>
          <w:r>
            <w:fldChar w:fldCharType="separate"/>
          </w:r>
          <w:r>
            <w:t>4</w:t>
          </w:r>
          <w:r>
            <w:fldChar w:fldCharType="end"/>
          </w:r>
          <w:r>
            <w:fldChar w:fldCharType="end"/>
          </w:r>
        </w:p>
        <w:p>
          <w:pPr>
            <w:pStyle w:val="17"/>
            <w:tabs>
              <w:tab w:val="right" w:leader="dot" w:pos="8845"/>
            </w:tabs>
          </w:pPr>
          <w:r>
            <w:fldChar w:fldCharType="begin"/>
          </w:r>
          <w:r>
            <w:instrText xml:space="preserve"> HYPERLINK \l "_Toc20435" </w:instrText>
          </w:r>
          <w:r>
            <w:fldChar w:fldCharType="separate"/>
          </w:r>
          <w:r>
            <w:rPr>
              <w:rFonts w:hint="eastAsia" w:ascii="楷体" w:hAnsi="楷体" w:eastAsia="楷体" w:cs="楷体"/>
              <w:bCs/>
              <w:szCs w:val="28"/>
            </w:rPr>
            <w:t>（二）培养规格</w:t>
          </w:r>
          <w:r>
            <w:tab/>
          </w:r>
          <w:r>
            <w:fldChar w:fldCharType="begin"/>
          </w:r>
          <w:r>
            <w:instrText xml:space="preserve"> PAGEREF _Toc20435 \h </w:instrText>
          </w:r>
          <w:r>
            <w:fldChar w:fldCharType="separate"/>
          </w:r>
          <w:r>
            <w:t>4</w:t>
          </w:r>
          <w:r>
            <w:fldChar w:fldCharType="end"/>
          </w:r>
          <w:r>
            <w:fldChar w:fldCharType="end"/>
          </w:r>
        </w:p>
        <w:p>
          <w:pPr>
            <w:pStyle w:val="21"/>
            <w:tabs>
              <w:tab w:val="right" w:leader="dot" w:pos="8845"/>
            </w:tabs>
          </w:pPr>
          <w:r>
            <w:fldChar w:fldCharType="begin"/>
          </w:r>
          <w:r>
            <w:instrText xml:space="preserve"> HYPERLINK \l "_Toc9617" </w:instrText>
          </w:r>
          <w:r>
            <w:fldChar w:fldCharType="separate"/>
          </w:r>
          <w:r>
            <w:rPr>
              <w:rFonts w:hint="eastAsia" w:ascii="楷体" w:hAnsi="楷体" w:eastAsia="楷体" w:cs="楷体"/>
              <w:bCs/>
              <w:szCs w:val="28"/>
            </w:rPr>
            <w:t>（三）创新创业能力的培养</w:t>
          </w:r>
          <w:r>
            <w:tab/>
          </w:r>
          <w:r>
            <w:fldChar w:fldCharType="begin"/>
          </w:r>
          <w:r>
            <w:instrText xml:space="preserve"> PAGEREF _Toc9617 \h </w:instrText>
          </w:r>
          <w:r>
            <w:fldChar w:fldCharType="separate"/>
          </w:r>
          <w:r>
            <w:t>6</w:t>
          </w:r>
          <w:r>
            <w:fldChar w:fldCharType="end"/>
          </w:r>
          <w:r>
            <w:fldChar w:fldCharType="end"/>
          </w:r>
        </w:p>
        <w:p>
          <w:pPr>
            <w:pStyle w:val="17"/>
            <w:tabs>
              <w:tab w:val="right" w:leader="dot" w:pos="8845"/>
            </w:tabs>
          </w:pPr>
          <w:r>
            <w:fldChar w:fldCharType="begin"/>
          </w:r>
          <w:r>
            <w:instrText xml:space="preserve"> HYPERLINK \l "_Toc13220" </w:instrText>
          </w:r>
          <w:r>
            <w:fldChar w:fldCharType="separate"/>
          </w:r>
          <w:r>
            <w:rPr>
              <w:rFonts w:hint="eastAsia" w:ascii="黑体" w:hAnsi="黑体" w:eastAsia="黑体" w:cs="黑体"/>
              <w:szCs w:val="28"/>
            </w:rPr>
            <w:t>六、课程设置及要求</w:t>
          </w:r>
          <w:r>
            <w:tab/>
          </w:r>
          <w:r>
            <w:fldChar w:fldCharType="begin"/>
          </w:r>
          <w:r>
            <w:instrText xml:space="preserve"> PAGEREF _Toc13220 \h </w:instrText>
          </w:r>
          <w:r>
            <w:fldChar w:fldCharType="separate"/>
          </w:r>
          <w:r>
            <w:t>7</w:t>
          </w:r>
          <w:r>
            <w:fldChar w:fldCharType="end"/>
          </w:r>
          <w:r>
            <w:fldChar w:fldCharType="end"/>
          </w:r>
        </w:p>
        <w:p>
          <w:pPr>
            <w:pStyle w:val="17"/>
            <w:tabs>
              <w:tab w:val="right" w:leader="dot" w:pos="8845"/>
            </w:tabs>
          </w:pPr>
          <w:r>
            <w:fldChar w:fldCharType="begin"/>
          </w:r>
          <w:r>
            <w:instrText xml:space="preserve"> HYPERLINK \l "_Toc29687" </w:instrText>
          </w:r>
          <w:r>
            <w:fldChar w:fldCharType="separate"/>
          </w:r>
          <w:r>
            <w:rPr>
              <w:rFonts w:hint="eastAsia" w:ascii="楷体_GB2312" w:hAnsi="楷体_GB2312" w:eastAsia="楷体_GB2312" w:cs="楷体_GB2312"/>
              <w:bCs/>
              <w:szCs w:val="28"/>
            </w:rPr>
            <w:t>（一）本专业公共基础课设置</w:t>
          </w:r>
          <w:r>
            <w:tab/>
          </w:r>
          <w:r>
            <w:fldChar w:fldCharType="begin"/>
          </w:r>
          <w:r>
            <w:instrText xml:space="preserve"> PAGEREF _Toc29687 \h </w:instrText>
          </w:r>
          <w:r>
            <w:fldChar w:fldCharType="separate"/>
          </w:r>
          <w:r>
            <w:t>7</w:t>
          </w:r>
          <w:r>
            <w:fldChar w:fldCharType="end"/>
          </w:r>
          <w:r>
            <w:fldChar w:fldCharType="end"/>
          </w:r>
        </w:p>
        <w:p>
          <w:pPr>
            <w:pStyle w:val="17"/>
            <w:tabs>
              <w:tab w:val="right" w:leader="dot" w:pos="8845"/>
            </w:tabs>
          </w:pPr>
          <w:r>
            <w:fldChar w:fldCharType="begin"/>
          </w:r>
          <w:r>
            <w:instrText xml:space="preserve"> HYPERLINK \l "_Toc27140" </w:instrText>
          </w:r>
          <w:r>
            <w:fldChar w:fldCharType="separate"/>
          </w:r>
          <w:r>
            <w:rPr>
              <w:rFonts w:hint="eastAsia" w:ascii="楷体_GB2312" w:hAnsi="楷体_GB2312" w:eastAsia="楷体_GB2312" w:cs="楷体_GB2312"/>
              <w:bCs/>
              <w:szCs w:val="28"/>
            </w:rPr>
            <w:t>（二）专业（技能）课设置</w:t>
          </w:r>
          <w:r>
            <w:tab/>
          </w:r>
          <w:r>
            <w:fldChar w:fldCharType="begin"/>
          </w:r>
          <w:r>
            <w:instrText xml:space="preserve"> PAGEREF _Toc27140 \h </w:instrText>
          </w:r>
          <w:r>
            <w:fldChar w:fldCharType="separate"/>
          </w:r>
          <w:r>
            <w:t>9</w:t>
          </w:r>
          <w:r>
            <w:fldChar w:fldCharType="end"/>
          </w:r>
          <w:r>
            <w:fldChar w:fldCharType="end"/>
          </w:r>
        </w:p>
        <w:p>
          <w:pPr>
            <w:pStyle w:val="17"/>
            <w:tabs>
              <w:tab w:val="right" w:leader="dot" w:pos="8845"/>
            </w:tabs>
          </w:pPr>
          <w:r>
            <w:fldChar w:fldCharType="begin"/>
          </w:r>
          <w:r>
            <w:instrText xml:space="preserve"> HYPERLINK \l "_Toc16060" </w:instrText>
          </w:r>
          <w:r>
            <w:fldChar w:fldCharType="separate"/>
          </w:r>
          <w:r>
            <w:rPr>
              <w:rFonts w:hint="eastAsia" w:ascii="黑体" w:hAnsi="黑体" w:eastAsia="黑体" w:cs="黑体"/>
              <w:bCs/>
              <w:szCs w:val="30"/>
            </w:rPr>
            <w:t>七、教学进程总体安排</w:t>
          </w:r>
          <w:r>
            <w:tab/>
          </w:r>
          <w:r>
            <w:fldChar w:fldCharType="begin"/>
          </w:r>
          <w:r>
            <w:instrText xml:space="preserve"> PAGEREF _Toc16060 \h </w:instrText>
          </w:r>
          <w:r>
            <w:fldChar w:fldCharType="separate"/>
          </w:r>
          <w:r>
            <w:t>13</w:t>
          </w:r>
          <w:r>
            <w:fldChar w:fldCharType="end"/>
          </w:r>
          <w:r>
            <w:fldChar w:fldCharType="end"/>
          </w:r>
        </w:p>
        <w:p>
          <w:pPr>
            <w:pStyle w:val="21"/>
            <w:tabs>
              <w:tab w:val="right" w:leader="dot" w:pos="8845"/>
            </w:tabs>
          </w:pPr>
          <w:r>
            <w:fldChar w:fldCharType="begin"/>
          </w:r>
          <w:r>
            <w:instrText xml:space="preserve"> HYPERLINK \l "_Toc18477" </w:instrText>
          </w:r>
          <w:r>
            <w:fldChar w:fldCharType="separate"/>
          </w:r>
          <w:r>
            <w:rPr>
              <w:rFonts w:hint="eastAsia" w:ascii="楷体_GB2312" w:hAnsi="楷体_GB2312" w:eastAsia="楷体_GB2312" w:cs="楷体_GB2312"/>
              <w:bCs/>
              <w:szCs w:val="30"/>
            </w:rPr>
            <w:t>（一）教育教学时间安排表</w:t>
          </w:r>
          <w:r>
            <w:tab/>
          </w:r>
          <w:r>
            <w:fldChar w:fldCharType="begin"/>
          </w:r>
          <w:r>
            <w:instrText xml:space="preserve"> PAGEREF _Toc18477 \h </w:instrText>
          </w:r>
          <w:r>
            <w:fldChar w:fldCharType="separate"/>
          </w:r>
          <w:r>
            <w:t>13</w:t>
          </w:r>
          <w:r>
            <w:fldChar w:fldCharType="end"/>
          </w:r>
          <w:r>
            <w:fldChar w:fldCharType="end"/>
          </w:r>
        </w:p>
        <w:p>
          <w:pPr>
            <w:pStyle w:val="21"/>
            <w:tabs>
              <w:tab w:val="right" w:leader="dot" w:pos="8845"/>
            </w:tabs>
          </w:pPr>
          <w:r>
            <w:fldChar w:fldCharType="begin"/>
          </w:r>
          <w:r>
            <w:instrText xml:space="preserve"> HYPERLINK \l "_Toc20608" </w:instrText>
          </w:r>
          <w:r>
            <w:fldChar w:fldCharType="separate"/>
          </w:r>
          <w:r>
            <w:rPr>
              <w:rFonts w:hint="eastAsia" w:ascii="楷体_GB2312" w:hAnsi="楷体_GB2312" w:eastAsia="楷体_GB2312" w:cs="楷体_GB2312"/>
              <w:bCs/>
              <w:szCs w:val="30"/>
            </w:rPr>
            <w:t>（二）理论与实践教学学时分配表</w:t>
          </w:r>
          <w:r>
            <w:tab/>
          </w:r>
          <w:r>
            <w:fldChar w:fldCharType="begin"/>
          </w:r>
          <w:r>
            <w:instrText xml:space="preserve"> PAGEREF _Toc20608 \h </w:instrText>
          </w:r>
          <w:r>
            <w:fldChar w:fldCharType="separate"/>
          </w:r>
          <w:r>
            <w:t>13</w:t>
          </w:r>
          <w:r>
            <w:fldChar w:fldCharType="end"/>
          </w:r>
          <w:r>
            <w:fldChar w:fldCharType="end"/>
          </w:r>
        </w:p>
        <w:p>
          <w:pPr>
            <w:pStyle w:val="21"/>
            <w:tabs>
              <w:tab w:val="right" w:leader="dot" w:pos="8845"/>
            </w:tabs>
          </w:pPr>
          <w:r>
            <w:fldChar w:fldCharType="begin"/>
          </w:r>
          <w:r>
            <w:instrText xml:space="preserve"> HYPERLINK \l "_Toc22338" </w:instrText>
          </w:r>
          <w:r>
            <w:fldChar w:fldCharType="separate"/>
          </w:r>
          <w:r>
            <w:rPr>
              <w:rFonts w:hint="eastAsia" w:ascii="楷体_GB2312" w:hAnsi="楷体_GB2312" w:eastAsia="楷体_GB2312" w:cs="楷体_GB2312"/>
              <w:bCs/>
              <w:szCs w:val="28"/>
            </w:rPr>
            <w:t>（三）教学进度安排计划表----必修课程设置及学分、学时、进程表</w:t>
          </w:r>
          <w:r>
            <w:tab/>
          </w:r>
          <w:r>
            <w:fldChar w:fldCharType="begin"/>
          </w:r>
          <w:r>
            <w:instrText xml:space="preserve"> PAGEREF _Toc22338 \h </w:instrText>
          </w:r>
          <w:r>
            <w:fldChar w:fldCharType="separate"/>
          </w:r>
          <w:r>
            <w:t>14</w:t>
          </w:r>
          <w:r>
            <w:fldChar w:fldCharType="end"/>
          </w:r>
          <w:r>
            <w:fldChar w:fldCharType="end"/>
          </w:r>
        </w:p>
        <w:p>
          <w:pPr>
            <w:pStyle w:val="17"/>
            <w:tabs>
              <w:tab w:val="right" w:leader="dot" w:pos="8845"/>
            </w:tabs>
          </w:pPr>
          <w:r>
            <w:fldChar w:fldCharType="begin"/>
          </w:r>
          <w:r>
            <w:instrText xml:space="preserve"> HYPERLINK \l "_Toc31424" </w:instrText>
          </w:r>
          <w:r>
            <w:fldChar w:fldCharType="separate"/>
          </w:r>
          <w:r>
            <w:rPr>
              <w:rFonts w:hint="eastAsia" w:ascii="黑体" w:hAnsi="黑体" w:eastAsia="黑体" w:cs="黑体"/>
              <w:bCs/>
              <w:szCs w:val="28"/>
            </w:rPr>
            <w:t>八、实施与保障</w:t>
          </w:r>
          <w:r>
            <w:tab/>
          </w:r>
          <w:r>
            <w:fldChar w:fldCharType="begin"/>
          </w:r>
          <w:r>
            <w:instrText xml:space="preserve"> PAGEREF _Toc31424 \h </w:instrText>
          </w:r>
          <w:r>
            <w:fldChar w:fldCharType="separate"/>
          </w:r>
          <w:r>
            <w:t>22</w:t>
          </w:r>
          <w:r>
            <w:fldChar w:fldCharType="end"/>
          </w:r>
          <w:r>
            <w:fldChar w:fldCharType="end"/>
          </w:r>
        </w:p>
        <w:p>
          <w:pPr>
            <w:pStyle w:val="21"/>
            <w:tabs>
              <w:tab w:val="right" w:leader="dot" w:pos="8845"/>
            </w:tabs>
          </w:pPr>
          <w:r>
            <w:fldChar w:fldCharType="begin"/>
          </w:r>
          <w:r>
            <w:instrText xml:space="preserve"> HYPERLINK \l "_Toc25638" </w:instrText>
          </w:r>
          <w:r>
            <w:fldChar w:fldCharType="separate"/>
          </w:r>
          <w:r>
            <w:rPr>
              <w:rFonts w:hint="eastAsia" w:ascii="楷体_GB2312" w:hAnsi="楷体_GB2312" w:eastAsia="楷体_GB2312" w:cs="楷体_GB2312"/>
              <w:bCs/>
              <w:szCs w:val="28"/>
            </w:rPr>
            <w:t>（一）师资队伍</w:t>
          </w:r>
          <w:r>
            <w:tab/>
          </w:r>
          <w:r>
            <w:fldChar w:fldCharType="begin"/>
          </w:r>
          <w:r>
            <w:instrText xml:space="preserve"> PAGEREF _Toc25638 \h </w:instrText>
          </w:r>
          <w:r>
            <w:fldChar w:fldCharType="separate"/>
          </w:r>
          <w:r>
            <w:t>22</w:t>
          </w:r>
          <w:r>
            <w:fldChar w:fldCharType="end"/>
          </w:r>
          <w:r>
            <w:fldChar w:fldCharType="end"/>
          </w:r>
        </w:p>
        <w:p>
          <w:pPr>
            <w:pStyle w:val="21"/>
            <w:tabs>
              <w:tab w:val="right" w:leader="dot" w:pos="8845"/>
            </w:tabs>
          </w:pPr>
          <w:r>
            <w:fldChar w:fldCharType="begin"/>
          </w:r>
          <w:r>
            <w:instrText xml:space="preserve"> HYPERLINK \l "_Toc31426" </w:instrText>
          </w:r>
          <w:r>
            <w:fldChar w:fldCharType="separate"/>
          </w:r>
          <w:r>
            <w:rPr>
              <w:rFonts w:hint="eastAsia" w:ascii="楷体_GB2312" w:hAnsi="楷体_GB2312" w:eastAsia="楷体_GB2312" w:cs="楷体_GB2312"/>
              <w:bCs/>
              <w:szCs w:val="28"/>
            </w:rPr>
            <w:t>（二）教学设施</w:t>
          </w:r>
          <w:r>
            <w:tab/>
          </w:r>
          <w:r>
            <w:fldChar w:fldCharType="begin"/>
          </w:r>
          <w:r>
            <w:instrText xml:space="preserve"> PAGEREF _Toc31426 \h </w:instrText>
          </w:r>
          <w:r>
            <w:fldChar w:fldCharType="separate"/>
          </w:r>
          <w:r>
            <w:t>22</w:t>
          </w:r>
          <w:r>
            <w:fldChar w:fldCharType="end"/>
          </w:r>
          <w:r>
            <w:fldChar w:fldCharType="end"/>
          </w:r>
        </w:p>
        <w:p>
          <w:pPr>
            <w:pStyle w:val="21"/>
            <w:tabs>
              <w:tab w:val="right" w:leader="dot" w:pos="8845"/>
            </w:tabs>
          </w:pPr>
          <w:r>
            <w:fldChar w:fldCharType="begin"/>
          </w:r>
          <w:r>
            <w:instrText xml:space="preserve"> HYPERLINK \l "_Toc4916" </w:instrText>
          </w:r>
          <w:r>
            <w:fldChar w:fldCharType="separate"/>
          </w:r>
          <w:r>
            <w:rPr>
              <w:rFonts w:hint="eastAsia" w:ascii="楷体_GB2312" w:hAnsi="楷体_GB2312" w:eastAsia="楷体_GB2312" w:cs="楷体_GB2312"/>
              <w:bCs/>
              <w:szCs w:val="28"/>
            </w:rPr>
            <w:t>（三）教学资源</w:t>
          </w:r>
          <w:r>
            <w:tab/>
          </w:r>
          <w:r>
            <w:fldChar w:fldCharType="begin"/>
          </w:r>
          <w:r>
            <w:instrText xml:space="preserve"> PAGEREF _Toc4916 \h </w:instrText>
          </w:r>
          <w:r>
            <w:fldChar w:fldCharType="separate"/>
          </w:r>
          <w:r>
            <w:t>23</w:t>
          </w:r>
          <w:r>
            <w:fldChar w:fldCharType="end"/>
          </w:r>
          <w:r>
            <w:fldChar w:fldCharType="end"/>
          </w:r>
        </w:p>
        <w:p>
          <w:pPr>
            <w:pStyle w:val="21"/>
            <w:tabs>
              <w:tab w:val="right" w:leader="dot" w:pos="8845"/>
            </w:tabs>
          </w:pPr>
          <w:r>
            <w:fldChar w:fldCharType="begin"/>
          </w:r>
          <w:r>
            <w:instrText xml:space="preserve"> HYPERLINK \l "_Toc30455" </w:instrText>
          </w:r>
          <w:r>
            <w:fldChar w:fldCharType="separate"/>
          </w:r>
          <w:r>
            <w:rPr>
              <w:rFonts w:hint="eastAsia" w:ascii="楷体_GB2312" w:hAnsi="楷体_GB2312" w:eastAsia="楷体_GB2312" w:cs="楷体_GB2312"/>
              <w:bCs/>
              <w:szCs w:val="28"/>
            </w:rPr>
            <w:t>（四）教学方法</w:t>
          </w:r>
          <w:r>
            <w:tab/>
          </w:r>
          <w:r>
            <w:fldChar w:fldCharType="begin"/>
          </w:r>
          <w:r>
            <w:instrText xml:space="preserve"> PAGEREF _Toc30455 \h </w:instrText>
          </w:r>
          <w:r>
            <w:fldChar w:fldCharType="separate"/>
          </w:r>
          <w:r>
            <w:t>24</w:t>
          </w:r>
          <w:r>
            <w:fldChar w:fldCharType="end"/>
          </w:r>
          <w:r>
            <w:fldChar w:fldCharType="end"/>
          </w:r>
        </w:p>
        <w:p>
          <w:pPr>
            <w:pStyle w:val="21"/>
            <w:tabs>
              <w:tab w:val="right" w:leader="dot" w:pos="8845"/>
            </w:tabs>
          </w:pPr>
          <w:r>
            <w:fldChar w:fldCharType="begin"/>
          </w:r>
          <w:r>
            <w:instrText xml:space="preserve"> HYPERLINK \l "_Toc16020" </w:instrText>
          </w:r>
          <w:r>
            <w:fldChar w:fldCharType="separate"/>
          </w:r>
          <w:r>
            <w:rPr>
              <w:rFonts w:hint="eastAsia" w:ascii="楷体_GB2312" w:hAnsi="楷体_GB2312" w:eastAsia="楷体_GB2312" w:cs="楷体_GB2312"/>
              <w:bCs/>
              <w:szCs w:val="28"/>
            </w:rPr>
            <w:t>（五）学习评价</w:t>
          </w:r>
          <w:r>
            <w:tab/>
          </w:r>
          <w:r>
            <w:fldChar w:fldCharType="begin"/>
          </w:r>
          <w:r>
            <w:instrText xml:space="preserve"> PAGEREF _Toc16020 \h </w:instrText>
          </w:r>
          <w:r>
            <w:fldChar w:fldCharType="separate"/>
          </w:r>
          <w:r>
            <w:t>24</w:t>
          </w:r>
          <w:r>
            <w:fldChar w:fldCharType="end"/>
          </w:r>
          <w:r>
            <w:fldChar w:fldCharType="end"/>
          </w:r>
        </w:p>
        <w:p>
          <w:pPr>
            <w:pStyle w:val="21"/>
            <w:tabs>
              <w:tab w:val="right" w:leader="dot" w:pos="8845"/>
            </w:tabs>
          </w:pPr>
          <w:r>
            <w:fldChar w:fldCharType="begin"/>
          </w:r>
          <w:r>
            <w:instrText xml:space="preserve"> HYPERLINK \l "_Toc24701" </w:instrText>
          </w:r>
          <w:r>
            <w:fldChar w:fldCharType="separate"/>
          </w:r>
          <w:r>
            <w:rPr>
              <w:rFonts w:hint="eastAsia" w:ascii="楷体_GB2312" w:hAnsi="楷体_GB2312" w:eastAsia="楷体_GB2312" w:cs="楷体_GB2312"/>
              <w:bCs/>
              <w:szCs w:val="28"/>
            </w:rPr>
            <w:t>（六）质量管理</w:t>
          </w:r>
          <w:r>
            <w:tab/>
          </w:r>
          <w:r>
            <w:fldChar w:fldCharType="begin"/>
          </w:r>
          <w:r>
            <w:instrText xml:space="preserve"> PAGEREF _Toc24701 \h </w:instrText>
          </w:r>
          <w:r>
            <w:fldChar w:fldCharType="separate"/>
          </w:r>
          <w:r>
            <w:t>24</w:t>
          </w:r>
          <w:r>
            <w:fldChar w:fldCharType="end"/>
          </w:r>
          <w:r>
            <w:fldChar w:fldCharType="end"/>
          </w:r>
        </w:p>
        <w:p>
          <w:pPr>
            <w:pStyle w:val="17"/>
            <w:tabs>
              <w:tab w:val="right" w:leader="dot" w:pos="8845"/>
            </w:tabs>
          </w:pPr>
          <w:r>
            <w:fldChar w:fldCharType="begin"/>
          </w:r>
          <w:r>
            <w:instrText xml:space="preserve"> HYPERLINK \l "_Toc23606" </w:instrText>
          </w:r>
          <w:r>
            <w:fldChar w:fldCharType="separate"/>
          </w:r>
          <w:r>
            <w:rPr>
              <w:rFonts w:hint="eastAsia" w:ascii="黑体" w:hAnsi="黑体" w:eastAsia="黑体" w:cs="黑体"/>
              <w:bCs/>
              <w:szCs w:val="28"/>
            </w:rPr>
            <w:t>九、毕业生要求</w:t>
          </w:r>
          <w:r>
            <w:tab/>
          </w:r>
          <w:r>
            <w:fldChar w:fldCharType="begin"/>
          </w:r>
          <w:r>
            <w:instrText xml:space="preserve"> PAGEREF _Toc23606 \h </w:instrText>
          </w:r>
          <w:r>
            <w:fldChar w:fldCharType="separate"/>
          </w:r>
          <w:r>
            <w:t>26</w:t>
          </w:r>
          <w:r>
            <w:fldChar w:fldCharType="end"/>
          </w:r>
          <w:r>
            <w:fldChar w:fldCharType="end"/>
          </w:r>
        </w:p>
        <w:p>
          <w:pPr>
            <w:rPr>
              <w:color w:val="000000" w:themeColor="text1"/>
              <w14:textFill>
                <w14:solidFill>
                  <w14:schemeClr w14:val="tx1"/>
                </w14:solidFill>
              </w14:textFill>
            </w:rPr>
          </w:pPr>
          <w:r>
            <w:rPr>
              <w:color w:val="000000" w:themeColor="text1"/>
              <w14:textFill>
                <w14:solidFill>
                  <w14:schemeClr w14:val="tx1"/>
                </w14:solidFill>
              </w14:textFill>
            </w:rPr>
            <w:fldChar w:fldCharType="end"/>
          </w:r>
        </w:p>
      </w:sdtContent>
    </w:sdt>
    <w:p>
      <w:pPr>
        <w:wordWrap w:val="0"/>
        <w:spacing w:line="520" w:lineRule="exact"/>
        <w:ind w:firstLine="560" w:firstLineChars="200"/>
        <w:jc w:val="left"/>
        <w:outlineLvl w:val="0"/>
        <w:rPr>
          <w:rFonts w:ascii="黑体" w:hAnsi="黑体" w:eastAsia="黑体" w:cs="黑体"/>
          <w:bCs/>
          <w:color w:val="000000" w:themeColor="text1"/>
          <w:sz w:val="28"/>
          <w:szCs w:val="28"/>
          <w14:textFill>
            <w14:solidFill>
              <w14:schemeClr w14:val="tx1"/>
            </w14:solidFill>
          </w14:textFill>
        </w:rPr>
      </w:pPr>
    </w:p>
    <w:p>
      <w:pPr>
        <w:wordWrap w:val="0"/>
        <w:spacing w:line="520" w:lineRule="exact"/>
        <w:ind w:firstLine="560" w:firstLineChars="200"/>
        <w:jc w:val="left"/>
        <w:outlineLvl w:val="0"/>
        <w:rPr>
          <w:rFonts w:ascii="黑体" w:hAnsi="黑体" w:eastAsia="黑体" w:cs="黑体"/>
          <w:bCs/>
          <w:color w:val="000000" w:themeColor="text1"/>
          <w:sz w:val="28"/>
          <w:szCs w:val="28"/>
          <w14:textFill>
            <w14:solidFill>
              <w14:schemeClr w14:val="tx1"/>
            </w14:solidFill>
          </w14:textFill>
        </w:rPr>
      </w:pPr>
    </w:p>
    <w:p>
      <w:pPr>
        <w:wordWrap w:val="0"/>
        <w:spacing w:line="480" w:lineRule="exact"/>
        <w:ind w:firstLine="560" w:firstLineChars="200"/>
        <w:jc w:val="left"/>
        <w:outlineLvl w:val="0"/>
        <w:rPr>
          <w:rFonts w:ascii="黑体" w:hAnsi="黑体" w:eastAsia="黑体" w:cs="黑体"/>
          <w:bCs/>
          <w:color w:val="000000" w:themeColor="text1"/>
          <w:sz w:val="28"/>
          <w:szCs w:val="28"/>
          <w14:textFill>
            <w14:solidFill>
              <w14:schemeClr w14:val="tx1"/>
            </w14:solidFill>
          </w14:textFill>
        </w:rPr>
      </w:pPr>
    </w:p>
    <w:p>
      <w:pPr>
        <w:wordWrap w:val="0"/>
        <w:spacing w:line="480" w:lineRule="exact"/>
        <w:jc w:val="left"/>
        <w:outlineLvl w:val="0"/>
        <w:rPr>
          <w:rFonts w:ascii="黑体" w:hAnsi="黑体" w:eastAsia="黑体" w:cs="黑体"/>
          <w:bCs/>
          <w:color w:val="000000" w:themeColor="text1"/>
          <w:sz w:val="28"/>
          <w:szCs w:val="28"/>
          <w14:textFill>
            <w14:solidFill>
              <w14:schemeClr w14:val="tx1"/>
            </w14:solidFill>
          </w14:textFill>
        </w:rPr>
      </w:pPr>
    </w:p>
    <w:p>
      <w:pPr>
        <w:wordWrap w:val="0"/>
        <w:spacing w:line="480" w:lineRule="exact"/>
        <w:jc w:val="left"/>
        <w:outlineLvl w:val="0"/>
        <w:rPr>
          <w:rFonts w:ascii="黑体" w:hAnsi="黑体" w:eastAsia="黑体" w:cs="黑体"/>
          <w:bCs/>
          <w:color w:val="000000" w:themeColor="text1"/>
          <w:sz w:val="28"/>
          <w:szCs w:val="28"/>
          <w14:textFill>
            <w14:solidFill>
              <w14:schemeClr w14:val="tx1"/>
            </w14:solidFill>
          </w14:textFill>
        </w:rPr>
      </w:pPr>
    </w:p>
    <w:p>
      <w:pPr>
        <w:wordWrap w:val="0"/>
        <w:spacing w:line="480" w:lineRule="exact"/>
        <w:jc w:val="left"/>
        <w:outlineLvl w:val="0"/>
        <w:rPr>
          <w:rFonts w:ascii="黑体" w:hAnsi="黑体" w:eastAsia="黑体" w:cs="黑体"/>
          <w:bCs/>
          <w:color w:val="000000" w:themeColor="text1"/>
          <w:sz w:val="28"/>
          <w:szCs w:val="28"/>
          <w14:textFill>
            <w14:solidFill>
              <w14:schemeClr w14:val="tx1"/>
            </w14:solidFill>
          </w14:textFill>
        </w:rPr>
      </w:pPr>
    </w:p>
    <w:p>
      <w:pPr>
        <w:wordWrap w:val="0"/>
        <w:spacing w:line="480" w:lineRule="exact"/>
        <w:ind w:firstLine="560" w:firstLineChars="200"/>
        <w:jc w:val="left"/>
        <w:outlineLvl w:val="0"/>
        <w:rPr>
          <w:rFonts w:ascii="黑体" w:hAnsi="黑体" w:eastAsia="黑体" w:cs="黑体"/>
          <w:bCs/>
          <w:color w:val="000000" w:themeColor="text1"/>
          <w:sz w:val="28"/>
          <w:szCs w:val="28"/>
          <w14:textFill>
            <w14:solidFill>
              <w14:schemeClr w14:val="tx1"/>
            </w14:solidFill>
          </w14:textFill>
        </w:rPr>
      </w:pPr>
      <w:bookmarkStart w:id="0" w:name="_Toc30087"/>
      <w:r>
        <w:rPr>
          <w:rFonts w:hint="eastAsia" w:ascii="黑体" w:hAnsi="黑体" w:eastAsia="黑体" w:cs="黑体"/>
          <w:bCs/>
          <w:color w:val="000000" w:themeColor="text1"/>
          <w:sz w:val="28"/>
          <w:szCs w:val="28"/>
          <w14:textFill>
            <w14:solidFill>
              <w14:schemeClr w14:val="tx1"/>
            </w14:solidFill>
          </w14:textFill>
        </w:rPr>
        <w:t>一、专业名称（专业代码）</w:t>
      </w:r>
      <w:bookmarkEnd w:id="0"/>
    </w:p>
    <w:p>
      <w:pPr>
        <w:wordWrap w:val="0"/>
        <w:spacing w:line="480" w:lineRule="exact"/>
        <w:ind w:firstLine="600"/>
        <w:jc w:val="lef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专业名称：发电厂及电力系统</w:t>
      </w:r>
    </w:p>
    <w:p>
      <w:pPr>
        <w:wordWrap w:val="0"/>
        <w:spacing w:line="480" w:lineRule="exact"/>
        <w:ind w:firstLine="600"/>
        <w:jc w:val="lef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专业代码：4</w:t>
      </w:r>
      <w:r>
        <w:rPr>
          <w:rFonts w:ascii="仿宋_GB2312" w:hAnsi="仿宋_GB2312" w:eastAsia="仿宋_GB2312" w:cs="仿宋_GB2312"/>
          <w:bCs/>
          <w:color w:val="000000" w:themeColor="text1"/>
          <w:sz w:val="28"/>
          <w:szCs w:val="28"/>
          <w14:textFill>
            <w14:solidFill>
              <w14:schemeClr w14:val="tx1"/>
            </w14:solidFill>
          </w14:textFill>
        </w:rPr>
        <w:t>30101</w:t>
      </w:r>
    </w:p>
    <w:p>
      <w:pPr>
        <w:wordWrap w:val="0"/>
        <w:spacing w:line="480" w:lineRule="exact"/>
        <w:ind w:firstLine="560" w:firstLineChars="200"/>
        <w:jc w:val="left"/>
        <w:outlineLvl w:val="0"/>
        <w:rPr>
          <w:rFonts w:ascii="黑体" w:hAnsi="黑体" w:eastAsia="黑体" w:cs="黑体"/>
          <w:bCs/>
          <w:color w:val="000000" w:themeColor="text1"/>
          <w:sz w:val="28"/>
          <w:szCs w:val="28"/>
          <w14:textFill>
            <w14:solidFill>
              <w14:schemeClr w14:val="tx1"/>
            </w14:solidFill>
          </w14:textFill>
        </w:rPr>
      </w:pPr>
      <w:bookmarkStart w:id="1" w:name="_Toc10415"/>
      <w:r>
        <w:rPr>
          <w:rFonts w:hint="eastAsia" w:ascii="黑体" w:hAnsi="黑体" w:eastAsia="黑体" w:cs="黑体"/>
          <w:bCs/>
          <w:color w:val="000000" w:themeColor="text1"/>
          <w:sz w:val="28"/>
          <w:szCs w:val="28"/>
          <w14:textFill>
            <w14:solidFill>
              <w14:schemeClr w14:val="tx1"/>
            </w14:solidFill>
          </w14:textFill>
        </w:rPr>
        <w:t>二、入学要求</w:t>
      </w:r>
      <w:bookmarkEnd w:id="1"/>
    </w:p>
    <w:p>
      <w:pPr>
        <w:wordWrap w:val="0"/>
        <w:spacing w:line="480" w:lineRule="exact"/>
        <w:ind w:firstLine="560" w:firstLineChars="200"/>
        <w:jc w:val="lef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高中阶段教育毕业生/具有同等学力者。</w:t>
      </w:r>
    </w:p>
    <w:p>
      <w:pPr>
        <w:wordWrap w:val="0"/>
        <w:spacing w:line="480" w:lineRule="exact"/>
        <w:ind w:firstLine="560" w:firstLineChars="200"/>
        <w:jc w:val="left"/>
        <w:outlineLvl w:val="0"/>
        <w:rPr>
          <w:rFonts w:ascii="黑体" w:hAnsi="黑体" w:eastAsia="黑体" w:cs="黑体"/>
          <w:bCs/>
          <w:color w:val="000000" w:themeColor="text1"/>
          <w:sz w:val="28"/>
          <w:szCs w:val="28"/>
          <w14:textFill>
            <w14:solidFill>
              <w14:schemeClr w14:val="tx1"/>
            </w14:solidFill>
          </w14:textFill>
        </w:rPr>
      </w:pPr>
      <w:bookmarkStart w:id="2" w:name="_Toc20397"/>
      <w:r>
        <w:rPr>
          <w:rFonts w:hint="eastAsia" w:ascii="黑体" w:hAnsi="黑体" w:eastAsia="黑体" w:cs="黑体"/>
          <w:bCs/>
          <w:color w:val="000000" w:themeColor="text1"/>
          <w:sz w:val="28"/>
          <w:szCs w:val="28"/>
          <w14:textFill>
            <w14:solidFill>
              <w14:schemeClr w14:val="tx1"/>
            </w14:solidFill>
          </w14:textFill>
        </w:rPr>
        <w:t>三、修业年限及学历</w:t>
      </w:r>
      <w:bookmarkEnd w:id="2"/>
    </w:p>
    <w:p>
      <w:pPr>
        <w:wordWrap w:val="0"/>
        <w:spacing w:line="480" w:lineRule="exact"/>
        <w:ind w:firstLine="600"/>
        <w:jc w:val="lef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基本学制3年，专科。</w:t>
      </w:r>
    </w:p>
    <w:p>
      <w:pPr>
        <w:wordWrap w:val="0"/>
        <w:spacing w:line="480" w:lineRule="exact"/>
        <w:ind w:firstLine="560" w:firstLineChars="200"/>
        <w:jc w:val="left"/>
        <w:outlineLvl w:val="0"/>
        <w:rPr>
          <w:rFonts w:ascii="黑体" w:hAnsi="黑体" w:eastAsia="黑体" w:cs="黑体"/>
          <w:bCs/>
          <w:color w:val="000000" w:themeColor="text1"/>
          <w:sz w:val="28"/>
          <w:szCs w:val="28"/>
          <w14:textFill>
            <w14:solidFill>
              <w14:schemeClr w14:val="tx1"/>
            </w14:solidFill>
          </w14:textFill>
        </w:rPr>
      </w:pPr>
      <w:bookmarkStart w:id="3" w:name="_Toc27009"/>
      <w:r>
        <w:rPr>
          <w:rFonts w:hint="eastAsia" w:ascii="黑体" w:hAnsi="黑体" w:eastAsia="黑体" w:cs="黑体"/>
          <w:bCs/>
          <w:color w:val="000000" w:themeColor="text1"/>
          <w:sz w:val="28"/>
          <w:szCs w:val="28"/>
          <w14:textFill>
            <w14:solidFill>
              <w14:schemeClr w14:val="tx1"/>
            </w14:solidFill>
          </w14:textFill>
        </w:rPr>
        <w:t>四、职业面向</w:t>
      </w:r>
      <w:bookmarkEnd w:id="3"/>
      <w:bookmarkStart w:id="4" w:name="_Toc38299245"/>
      <w:bookmarkStart w:id="5" w:name="_Toc38201832"/>
    </w:p>
    <w:p>
      <w:pPr>
        <w:wordWrap w:val="0"/>
        <w:spacing w:line="480" w:lineRule="exact"/>
        <w:ind w:firstLine="560" w:firstLineChars="200"/>
        <w:jc w:val="left"/>
        <w:outlineLvl w:val="1"/>
        <w:rPr>
          <w:rFonts w:ascii="楷体_GB2312" w:hAnsi="楷体_GB2312" w:eastAsia="楷体_GB2312" w:cs="楷体_GB2312"/>
          <w:color w:val="000000" w:themeColor="text1"/>
          <w:sz w:val="28"/>
          <w:szCs w:val="28"/>
          <w14:textFill>
            <w14:solidFill>
              <w14:schemeClr w14:val="tx1"/>
            </w14:solidFill>
          </w14:textFill>
        </w:rPr>
      </w:pPr>
      <w:bookmarkStart w:id="6" w:name="_Toc16142"/>
      <w:r>
        <w:rPr>
          <w:rFonts w:hint="eastAsia" w:ascii="楷体_GB2312" w:hAnsi="楷体_GB2312" w:eastAsia="楷体_GB2312" w:cs="楷体_GB2312"/>
          <w:color w:val="000000" w:themeColor="text1"/>
          <w:sz w:val="28"/>
          <w:szCs w:val="28"/>
          <w14:textFill>
            <w14:solidFill>
              <w14:schemeClr w14:val="tx1"/>
            </w14:solidFill>
          </w14:textFill>
        </w:rPr>
        <w:t>（一）本专业职业面向</w:t>
      </w:r>
      <w:bookmarkEnd w:id="4"/>
      <w:bookmarkEnd w:id="5"/>
      <w:bookmarkEnd w:id="6"/>
    </w:p>
    <w:tbl>
      <w:tblPr>
        <w:tblStyle w:val="27"/>
        <w:tblpPr w:leftFromText="180" w:rightFromText="180" w:vertAnchor="text" w:horzAnchor="page" w:tblpX="1838" w:tblpY="350"/>
        <w:tblOverlap w:val="never"/>
        <w:tblW w:w="8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390"/>
        <w:gridCol w:w="1512"/>
        <w:gridCol w:w="2238"/>
        <w:gridCol w:w="2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3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所属专业大类（代码）</w:t>
            </w:r>
          </w:p>
        </w:tc>
        <w:tc>
          <w:tcPr>
            <w:tcW w:w="13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所属专业类</w:t>
            </w:r>
          </w:p>
          <w:p>
            <w:pPr>
              <w:snapToGrid w:val="0"/>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（代码）</w:t>
            </w:r>
          </w:p>
        </w:tc>
        <w:tc>
          <w:tcPr>
            <w:tcW w:w="15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对应行业</w:t>
            </w:r>
          </w:p>
          <w:p>
            <w:pPr>
              <w:snapToGrid w:val="0"/>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（代码）</w:t>
            </w:r>
          </w:p>
        </w:tc>
        <w:tc>
          <w:tcPr>
            <w:tcW w:w="22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主要职业类别</w:t>
            </w:r>
          </w:p>
          <w:p>
            <w:pPr>
              <w:snapToGrid w:val="0"/>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（代码）</w:t>
            </w:r>
          </w:p>
        </w:tc>
        <w:tc>
          <w:tcPr>
            <w:tcW w:w="20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主要岗位群或技术领域举例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能源动力与材料大类（43）</w:t>
            </w:r>
          </w:p>
        </w:tc>
        <w:tc>
          <w:tcPr>
            <w:tcW w:w="13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电力技术类（4301）</w:t>
            </w:r>
          </w:p>
        </w:tc>
        <w:tc>
          <w:tcPr>
            <w:tcW w:w="15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电力、热力生产和供应业（44）</w:t>
            </w:r>
          </w:p>
        </w:tc>
        <w:tc>
          <w:tcPr>
            <w:tcW w:w="22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电气值班员（6-28-01-06）</w:t>
            </w:r>
          </w:p>
          <w:p>
            <w:pPr>
              <w:snapToGrid w:val="0"/>
              <w:jc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变配电运行值班员（6-28-01-14）</w:t>
            </w:r>
          </w:p>
          <w:p>
            <w:pPr>
              <w:snapToGrid w:val="0"/>
              <w:jc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变电设备检修工（6-31-01-15）</w:t>
            </w:r>
          </w:p>
          <w:p>
            <w:pPr>
              <w:snapToGrid w:val="0"/>
              <w:jc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变电工程技术人员（2-02-12-03）</w:t>
            </w:r>
          </w:p>
        </w:tc>
        <w:tc>
          <w:tcPr>
            <w:tcW w:w="20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发电厂电气运行；</w:t>
            </w:r>
          </w:p>
          <w:p>
            <w:pPr>
              <w:snapToGrid w:val="0"/>
              <w:jc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变电站变电运行；</w:t>
            </w:r>
          </w:p>
          <w:p>
            <w:pPr>
              <w:snapToGrid w:val="0"/>
              <w:jc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变电设备检修；</w:t>
            </w:r>
          </w:p>
          <w:p>
            <w:pPr>
              <w:snapToGrid w:val="0"/>
              <w:jc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继电保护维运。</w:t>
            </w:r>
          </w:p>
        </w:tc>
      </w:tr>
    </w:tbl>
    <w:p>
      <w:pPr>
        <w:wordWrap w:val="0"/>
        <w:spacing w:line="560" w:lineRule="exact"/>
        <w:ind w:firstLine="560" w:firstLineChars="200"/>
        <w:jc w:val="left"/>
        <w:outlineLvl w:val="1"/>
        <w:rPr>
          <w:rFonts w:ascii="楷体_GB2312" w:hAnsi="楷体_GB2312" w:eastAsia="楷体_GB2312" w:cs="楷体_GB2312"/>
          <w:color w:val="000000" w:themeColor="text1"/>
          <w:sz w:val="28"/>
          <w:szCs w:val="28"/>
          <w14:textFill>
            <w14:solidFill>
              <w14:schemeClr w14:val="tx1"/>
            </w14:solidFill>
          </w14:textFill>
        </w:rPr>
      </w:pPr>
      <w:bookmarkStart w:id="7" w:name="_Toc38201833"/>
      <w:bookmarkStart w:id="8" w:name="_Toc9981"/>
      <w:bookmarkStart w:id="9" w:name="_Toc38299246"/>
      <w:r>
        <w:rPr>
          <w:rFonts w:hint="eastAsia" w:ascii="楷体_GB2312" w:hAnsi="楷体_GB2312" w:eastAsia="楷体_GB2312" w:cs="楷体_GB2312"/>
          <w:color w:val="000000" w:themeColor="text1"/>
          <w:sz w:val="28"/>
          <w:szCs w:val="28"/>
          <w14:textFill>
            <w14:solidFill>
              <w14:schemeClr w14:val="tx1"/>
            </w14:solidFill>
          </w14:textFill>
        </w:rPr>
        <w:t>（二）职业等级证书、行业企业标准和证书</w:t>
      </w:r>
      <w:bookmarkEnd w:id="7"/>
      <w:bookmarkEnd w:id="8"/>
      <w:bookmarkEnd w:id="9"/>
    </w:p>
    <w:p>
      <w:pPr>
        <w:pStyle w:val="82"/>
        <w:spacing w:line="560" w:lineRule="exact"/>
        <w:ind w:firstLine="560" w:firstLineChars="200"/>
        <w:outlineLvl w:val="9"/>
        <w:rPr>
          <w:rFonts w:ascii="仿宋_GB2312" w:hAnsi="仿宋_GB2312" w:eastAsia="仿宋_GB2312" w:cs="仿宋_GB2312"/>
          <w:b w:val="0"/>
          <w:color w:val="000000" w:themeColor="text1"/>
          <w:sz w:val="28"/>
          <w:szCs w:val="28"/>
          <w14:textFill>
            <w14:solidFill>
              <w14:schemeClr w14:val="tx1"/>
            </w14:solidFill>
          </w14:textFill>
        </w:rPr>
      </w:pPr>
      <w:bookmarkStart w:id="10" w:name="_Toc93"/>
      <w:bookmarkStart w:id="11" w:name="_Toc9012"/>
      <w:r>
        <w:rPr>
          <w:rFonts w:hint="eastAsia" w:ascii="仿宋_GB2312" w:hAnsi="仿宋_GB2312" w:eastAsia="仿宋_GB2312" w:cs="仿宋_GB2312"/>
          <w:b w:val="0"/>
          <w:color w:val="000000" w:themeColor="text1"/>
          <w:sz w:val="28"/>
          <w:szCs w:val="28"/>
          <w14:textFill>
            <w14:solidFill>
              <w14:schemeClr w14:val="tx1"/>
            </w14:solidFill>
          </w14:textFill>
        </w:rPr>
        <w:t>1.通用证书</w:t>
      </w:r>
      <w:bookmarkEnd w:id="10"/>
      <w:bookmarkEnd w:id="11"/>
    </w:p>
    <w:tbl>
      <w:tblPr>
        <w:tblStyle w:val="27"/>
        <w:tblW w:w="8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3"/>
        <w:gridCol w:w="2190"/>
        <w:gridCol w:w="3762"/>
        <w:gridCol w:w="946"/>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813" w:type="dxa"/>
            <w:vAlign w:val="center"/>
          </w:tcPr>
          <w:p>
            <w:pPr>
              <w:snapToGrid w:val="0"/>
              <w:jc w:val="center"/>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序号</w:t>
            </w:r>
          </w:p>
        </w:tc>
        <w:tc>
          <w:tcPr>
            <w:tcW w:w="2190" w:type="dxa"/>
            <w:vAlign w:val="center"/>
          </w:tcPr>
          <w:p>
            <w:pPr>
              <w:snapToGrid w:val="0"/>
              <w:jc w:val="center"/>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考核项目</w:t>
            </w:r>
          </w:p>
        </w:tc>
        <w:tc>
          <w:tcPr>
            <w:tcW w:w="3762" w:type="dxa"/>
            <w:vAlign w:val="center"/>
          </w:tcPr>
          <w:p>
            <w:pPr>
              <w:snapToGrid w:val="0"/>
              <w:jc w:val="center"/>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考核发证部门</w:t>
            </w:r>
          </w:p>
        </w:tc>
        <w:tc>
          <w:tcPr>
            <w:tcW w:w="946" w:type="dxa"/>
            <w:vAlign w:val="center"/>
          </w:tcPr>
          <w:p>
            <w:pPr>
              <w:snapToGrid w:val="0"/>
              <w:jc w:val="center"/>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等级</w:t>
            </w:r>
          </w:p>
        </w:tc>
        <w:tc>
          <w:tcPr>
            <w:tcW w:w="845" w:type="dxa"/>
            <w:vAlign w:val="center"/>
          </w:tcPr>
          <w:p>
            <w:pPr>
              <w:snapToGrid w:val="0"/>
              <w:jc w:val="center"/>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exact"/>
          <w:jc w:val="center"/>
        </w:trPr>
        <w:tc>
          <w:tcPr>
            <w:tcW w:w="813" w:type="dxa"/>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w:t>
            </w:r>
          </w:p>
        </w:tc>
        <w:tc>
          <w:tcPr>
            <w:tcW w:w="2190" w:type="dxa"/>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全国英语等级考试</w:t>
            </w:r>
          </w:p>
        </w:tc>
        <w:tc>
          <w:tcPr>
            <w:tcW w:w="3762" w:type="dxa"/>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教育部考试中心</w:t>
            </w:r>
          </w:p>
        </w:tc>
        <w:tc>
          <w:tcPr>
            <w:tcW w:w="946" w:type="dxa"/>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三级</w:t>
            </w:r>
          </w:p>
        </w:tc>
        <w:tc>
          <w:tcPr>
            <w:tcW w:w="845" w:type="dxa"/>
            <w:vAlign w:val="center"/>
          </w:tcPr>
          <w:p>
            <w:pPr>
              <w:snapToGrid w:val="0"/>
              <w:jc w:val="center"/>
              <w:rPr>
                <w:rFonts w:asciiTheme="minorEastAsia" w:hAnsiTheme="minorEastAsia" w:cstheme="minorEastAsia"/>
                <w:color w:val="000000" w:themeColor="text1"/>
                <w:szCs w:val="21"/>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exact"/>
          <w:jc w:val="center"/>
        </w:trPr>
        <w:tc>
          <w:tcPr>
            <w:tcW w:w="813" w:type="dxa"/>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w:t>
            </w:r>
          </w:p>
        </w:tc>
        <w:tc>
          <w:tcPr>
            <w:tcW w:w="2190" w:type="dxa"/>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普通话</w:t>
            </w:r>
          </w:p>
        </w:tc>
        <w:tc>
          <w:tcPr>
            <w:tcW w:w="3762" w:type="dxa"/>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国家语言文字委员会</w:t>
            </w:r>
          </w:p>
        </w:tc>
        <w:tc>
          <w:tcPr>
            <w:tcW w:w="946" w:type="dxa"/>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三甲</w:t>
            </w:r>
          </w:p>
        </w:tc>
        <w:tc>
          <w:tcPr>
            <w:tcW w:w="845" w:type="dxa"/>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exact"/>
          <w:jc w:val="center"/>
        </w:trPr>
        <w:tc>
          <w:tcPr>
            <w:tcW w:w="813" w:type="dxa"/>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w:t>
            </w:r>
          </w:p>
        </w:tc>
        <w:tc>
          <w:tcPr>
            <w:tcW w:w="2190" w:type="dxa"/>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全国计算机等级考试</w:t>
            </w:r>
          </w:p>
        </w:tc>
        <w:tc>
          <w:tcPr>
            <w:tcW w:w="3762" w:type="dxa"/>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教育部考试中心</w:t>
            </w:r>
          </w:p>
        </w:tc>
        <w:tc>
          <w:tcPr>
            <w:tcW w:w="946" w:type="dxa"/>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二级</w:t>
            </w:r>
          </w:p>
        </w:tc>
        <w:tc>
          <w:tcPr>
            <w:tcW w:w="845" w:type="dxa"/>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p>
        </w:tc>
      </w:tr>
    </w:tbl>
    <w:p>
      <w:pPr>
        <w:pStyle w:val="82"/>
        <w:ind w:firstLine="560" w:firstLineChars="200"/>
        <w:outlineLvl w:val="9"/>
        <w:rPr>
          <w:rFonts w:ascii="仿宋_GB2312" w:hAnsi="仿宋_GB2312" w:eastAsia="仿宋_GB2312" w:cs="仿宋_GB2312"/>
          <w:b w:val="0"/>
          <w:color w:val="000000" w:themeColor="text1"/>
          <w:sz w:val="28"/>
          <w:szCs w:val="28"/>
          <w14:textFill>
            <w14:solidFill>
              <w14:schemeClr w14:val="tx1"/>
            </w14:solidFill>
          </w14:textFill>
        </w:rPr>
      </w:pPr>
      <w:bookmarkStart w:id="12" w:name="_Toc8164"/>
      <w:bookmarkStart w:id="13" w:name="_Toc32008"/>
      <w:r>
        <w:rPr>
          <w:rFonts w:hint="eastAsia" w:ascii="仿宋_GB2312" w:hAnsi="仿宋_GB2312" w:eastAsia="仿宋_GB2312" w:cs="仿宋_GB2312"/>
          <w:b w:val="0"/>
          <w:color w:val="000000" w:themeColor="text1"/>
          <w:sz w:val="28"/>
          <w:szCs w:val="28"/>
          <w14:textFill>
            <w14:solidFill>
              <w14:schemeClr w14:val="tx1"/>
            </w14:solidFill>
          </w14:textFill>
        </w:rPr>
        <w:t>2.本专业职业资格证书</w:t>
      </w:r>
      <w:bookmarkEnd w:id="12"/>
      <w:bookmarkEnd w:id="13"/>
    </w:p>
    <w:tbl>
      <w:tblPr>
        <w:tblStyle w:val="27"/>
        <w:tblW w:w="8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16"/>
        <w:gridCol w:w="3234"/>
        <w:gridCol w:w="1540"/>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snapToGrid w:val="0"/>
              <w:ind w:left="105" w:leftChars="50"/>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序号</w:t>
            </w:r>
          </w:p>
        </w:tc>
        <w:tc>
          <w:tcPr>
            <w:tcW w:w="191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考核项目</w:t>
            </w:r>
          </w:p>
        </w:tc>
        <w:tc>
          <w:tcPr>
            <w:tcW w:w="32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考核发证部门</w:t>
            </w: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等级</w:t>
            </w:r>
          </w:p>
        </w:tc>
        <w:tc>
          <w:tcPr>
            <w:tcW w:w="9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846" w:type="dxa"/>
            <w:tcBorders>
              <w:top w:val="single" w:color="auto" w:sz="4" w:space="0"/>
              <w:left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1916" w:type="dxa"/>
            <w:tcBorders>
              <w:top w:val="single" w:color="auto" w:sz="4" w:space="0"/>
              <w:left w:val="single" w:color="auto" w:sz="4" w:space="0"/>
              <w:bottom w:val="single" w:color="auto" w:sz="4" w:space="0"/>
              <w:right w:val="single" w:color="auto" w:sz="4" w:space="0"/>
            </w:tcBorders>
            <w:vAlign w:val="bottom"/>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特种作业操作证（电工）</w:t>
            </w:r>
          </w:p>
        </w:tc>
        <w:tc>
          <w:tcPr>
            <w:tcW w:w="32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中华人民共和国应急管理部</w:t>
            </w: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高压/低压</w:t>
            </w:r>
          </w:p>
        </w:tc>
        <w:tc>
          <w:tcPr>
            <w:tcW w:w="995" w:type="dxa"/>
            <w:tcBorders>
              <w:top w:val="single" w:color="auto" w:sz="4" w:space="0"/>
              <w:left w:val="single" w:color="auto" w:sz="4" w:space="0"/>
              <w:bottom w:val="single" w:color="auto" w:sz="4" w:space="0"/>
              <w:right w:val="single" w:color="auto" w:sz="4" w:space="0"/>
            </w:tcBorders>
            <w:vAlign w:val="bottom"/>
          </w:tcPr>
          <w:p>
            <w:pPr>
              <w:snapToGrid w:val="0"/>
              <w:jc w:val="center"/>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191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电工</w:t>
            </w:r>
          </w:p>
        </w:tc>
        <w:tc>
          <w:tcPr>
            <w:tcW w:w="32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人力资源和社会保障局</w:t>
            </w: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四级</w:t>
            </w:r>
          </w:p>
        </w:tc>
        <w:tc>
          <w:tcPr>
            <w:tcW w:w="995" w:type="dxa"/>
            <w:tcBorders>
              <w:top w:val="single" w:color="auto" w:sz="4" w:space="0"/>
              <w:left w:val="single" w:color="auto" w:sz="4" w:space="0"/>
              <w:bottom w:val="single" w:color="auto" w:sz="4" w:space="0"/>
              <w:right w:val="single" w:color="auto" w:sz="4" w:space="0"/>
            </w:tcBorders>
            <w:vAlign w:val="bottom"/>
          </w:tcPr>
          <w:p>
            <w:pPr>
              <w:snapToGrid w:val="0"/>
              <w:jc w:val="center"/>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191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继电保护工</w:t>
            </w:r>
          </w:p>
        </w:tc>
        <w:tc>
          <w:tcPr>
            <w:tcW w:w="32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人力资源和社会保障局</w:t>
            </w: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四级</w:t>
            </w:r>
          </w:p>
        </w:tc>
        <w:tc>
          <w:tcPr>
            <w:tcW w:w="995" w:type="dxa"/>
            <w:tcBorders>
              <w:top w:val="single" w:color="auto" w:sz="4" w:space="0"/>
              <w:left w:val="single" w:color="auto" w:sz="4" w:space="0"/>
              <w:bottom w:val="single" w:color="auto" w:sz="4" w:space="0"/>
              <w:right w:val="single" w:color="auto" w:sz="4" w:space="0"/>
            </w:tcBorders>
            <w:vAlign w:val="bottom"/>
          </w:tcPr>
          <w:p>
            <w:pPr>
              <w:snapToGrid w:val="0"/>
              <w:jc w:val="center"/>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191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变电检修工</w:t>
            </w:r>
          </w:p>
        </w:tc>
        <w:tc>
          <w:tcPr>
            <w:tcW w:w="32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人力资源和社会保障局</w:t>
            </w: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四级</w:t>
            </w:r>
          </w:p>
        </w:tc>
        <w:tc>
          <w:tcPr>
            <w:tcW w:w="995" w:type="dxa"/>
            <w:tcBorders>
              <w:top w:val="single" w:color="auto" w:sz="4" w:space="0"/>
              <w:left w:val="single" w:color="auto" w:sz="4" w:space="0"/>
              <w:bottom w:val="single" w:color="auto" w:sz="4" w:space="0"/>
              <w:right w:val="single" w:color="auto" w:sz="4" w:space="0"/>
            </w:tcBorders>
            <w:vAlign w:val="bottom"/>
          </w:tcPr>
          <w:p>
            <w:pPr>
              <w:snapToGrid w:val="0"/>
              <w:jc w:val="center"/>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w:t>
            </w:r>
          </w:p>
        </w:tc>
        <w:tc>
          <w:tcPr>
            <w:tcW w:w="191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电网调度自动化维护员</w:t>
            </w:r>
          </w:p>
        </w:tc>
        <w:tc>
          <w:tcPr>
            <w:tcW w:w="32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人力资源和社会保障局</w:t>
            </w: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四级</w:t>
            </w:r>
          </w:p>
        </w:tc>
        <w:tc>
          <w:tcPr>
            <w:tcW w:w="9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6</w:t>
            </w:r>
          </w:p>
        </w:tc>
        <w:tc>
          <w:tcPr>
            <w:tcW w:w="191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1+X垃圾焚烧发电运行与维护</w:t>
            </w:r>
          </w:p>
        </w:tc>
        <w:tc>
          <w:tcPr>
            <w:tcW w:w="32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博努力仿真技术有限公司</w:t>
            </w: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初级/中级</w:t>
            </w:r>
          </w:p>
        </w:tc>
        <w:tc>
          <w:tcPr>
            <w:tcW w:w="9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p>
        </w:tc>
      </w:tr>
    </w:tbl>
    <w:p>
      <w:pPr>
        <w:snapToGrid w:val="0"/>
        <w:spacing w:line="360" w:lineRule="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（说明：学生毕业应至少获得一种通用证书和一种专业职业资格证书。）</w:t>
      </w:r>
    </w:p>
    <w:p>
      <w:pPr>
        <w:wordWrap w:val="0"/>
        <w:spacing w:line="560" w:lineRule="exact"/>
        <w:ind w:firstLine="560" w:firstLineChars="200"/>
        <w:jc w:val="left"/>
        <w:outlineLvl w:val="1"/>
        <w:rPr>
          <w:rFonts w:ascii="楷体_GB2312" w:hAnsi="楷体_GB2312" w:eastAsia="楷体_GB2312" w:cs="楷体_GB2312"/>
          <w:color w:val="000000" w:themeColor="text1"/>
          <w:sz w:val="28"/>
          <w:szCs w:val="28"/>
          <w14:textFill>
            <w14:solidFill>
              <w14:schemeClr w14:val="tx1"/>
            </w14:solidFill>
          </w14:textFill>
        </w:rPr>
      </w:pPr>
      <w:bookmarkStart w:id="14" w:name="_Toc24781"/>
      <w:r>
        <w:rPr>
          <w:rFonts w:hint="eastAsia" w:ascii="楷体_GB2312" w:hAnsi="楷体_GB2312" w:eastAsia="楷体_GB2312" w:cs="楷体_GB2312"/>
          <w:color w:val="000000" w:themeColor="text1"/>
          <w:sz w:val="28"/>
          <w:szCs w:val="28"/>
          <w14:textFill>
            <w14:solidFill>
              <w14:schemeClr w14:val="tx1"/>
            </w14:solidFill>
          </w14:textFill>
        </w:rPr>
        <w:t>（三）职业生涯发展路径</w:t>
      </w:r>
      <w:bookmarkEnd w:id="14"/>
    </w:p>
    <w:p>
      <w:pPr>
        <w:wordWrap w:val="0"/>
        <w:spacing w:line="560" w:lineRule="exact"/>
        <w:ind w:firstLine="560" w:firstLineChars="200"/>
        <w:jc w:val="left"/>
        <w:outlineLvl w:val="0"/>
        <w:rPr>
          <w:rFonts w:ascii="黑体" w:hAnsi="黑体" w:eastAsia="黑体" w:cs="黑体"/>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4375785</wp:posOffset>
                </wp:positionH>
                <wp:positionV relativeFrom="paragraph">
                  <wp:posOffset>161290</wp:posOffset>
                </wp:positionV>
                <wp:extent cx="1282065" cy="1224915"/>
                <wp:effectExtent l="6350" t="6350" r="6985" b="6985"/>
                <wp:wrapNone/>
                <wp:docPr id="16" name="矩形 16"/>
                <wp:cNvGraphicFramePr/>
                <a:graphic xmlns:a="http://schemas.openxmlformats.org/drawingml/2006/main">
                  <a:graphicData uri="http://schemas.microsoft.com/office/word/2010/wordprocessingShape">
                    <wps:wsp>
                      <wps:cNvSpPr/>
                      <wps:spPr>
                        <a:xfrm>
                          <a:off x="0" y="0"/>
                          <a:ext cx="1282065" cy="1224915"/>
                        </a:xfrm>
                        <a:prstGeom prst="rect">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发展岗位</w:t>
                            </w:r>
                          </w:p>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（工程师）</w:t>
                            </w:r>
                          </w:p>
                          <w:p>
                            <w:pPr>
                              <w:spacing w:line="360" w:lineRule="exact"/>
                              <w:jc w:val="center"/>
                              <w:rPr>
                                <w:color w:val="002060"/>
                                <w:sz w:val="24"/>
                                <w:szCs w:val="24"/>
                              </w:rPr>
                            </w:pPr>
                            <w:r>
                              <w:rPr>
                                <w:rFonts w:hint="eastAsia"/>
                                <w:color w:val="000000" w:themeColor="text1"/>
                                <w:sz w:val="24"/>
                                <w:szCs w:val="24"/>
                                <w14:textFill>
                                  <w14:solidFill>
                                    <w14:schemeClr w14:val="tx1"/>
                                  </w14:solidFill>
                                </w14:textFill>
                              </w:rPr>
                              <w:t>（管理者）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4.55pt;margin-top:12.7pt;height:96.45pt;width:100.95pt;z-index:251662336;v-text-anchor:middle;mso-width-relative:page;mso-height-relative:page;" filled="f" stroked="t" coordsize="21600,21600" o:gfxdata="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a76dOdgAAAAKAQAADwAAAAAAAAABACAAAAAiAAAAZHJzL2Rvd25yZXYueG1sUEsBAhQA&#10;FAAAAAgAh07iQC4oDFRkAgAAwgQAAA4AAAAAAAAAAQAgAAAAJwEAAGRycy9lMm9Eb2MueG1sUEsF&#10;BgAAAAAGAAYAWQEAAP0FAAAAAA==&#10;">
                <v:fill on="f" focussize="0,0"/>
                <v:stroke weight="1pt" color="#000000 [3213]" joinstyle="round"/>
                <v:imagedata o:title=""/>
                <o:lock v:ext="edit" aspectratio="f"/>
                <v:textbox>
                  <w:txbxContent>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发展岗位</w:t>
                      </w:r>
                    </w:p>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（工程师）</w:t>
                      </w:r>
                    </w:p>
                    <w:p>
                      <w:pPr>
                        <w:spacing w:line="360" w:lineRule="exact"/>
                        <w:jc w:val="center"/>
                        <w:rPr>
                          <w:color w:val="002060"/>
                          <w:sz w:val="24"/>
                          <w:szCs w:val="24"/>
                        </w:rPr>
                      </w:pPr>
                      <w:r>
                        <w:rPr>
                          <w:rFonts w:hint="eastAsia"/>
                          <w:color w:val="000000" w:themeColor="text1"/>
                          <w:sz w:val="24"/>
                          <w:szCs w:val="24"/>
                          <w14:textFill>
                            <w14:solidFill>
                              <w14:schemeClr w14:val="tx1"/>
                            </w14:solidFill>
                          </w14:textFill>
                        </w:rPr>
                        <w:t>（管理者）</w:t>
                      </w:r>
                    </w:p>
                  </w:txbxContent>
                </v:textbox>
              </v:rect>
            </w:pict>
          </mc:Fallback>
        </mc:AlternateContent>
      </w:r>
      <w:r>
        <w:rPr>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2360295</wp:posOffset>
                </wp:positionH>
                <wp:positionV relativeFrom="paragraph">
                  <wp:posOffset>161290</wp:posOffset>
                </wp:positionV>
                <wp:extent cx="1282065" cy="1215390"/>
                <wp:effectExtent l="6350" t="6350" r="6985" b="16510"/>
                <wp:wrapNone/>
                <wp:docPr id="15" name="矩形 15"/>
                <wp:cNvGraphicFramePr/>
                <a:graphic xmlns:a="http://schemas.openxmlformats.org/drawingml/2006/main">
                  <a:graphicData uri="http://schemas.microsoft.com/office/word/2010/wordprocessingShape">
                    <wps:wsp>
                      <wps:cNvSpPr/>
                      <wps:spPr>
                        <a:xfrm>
                          <a:off x="0" y="0"/>
                          <a:ext cx="1282065" cy="1215390"/>
                        </a:xfrm>
                        <a:prstGeom prst="rect">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目标岗位</w:t>
                            </w:r>
                          </w:p>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（技术员）</w:t>
                            </w:r>
                          </w:p>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（维修员）</w:t>
                            </w:r>
                          </w:p>
                          <w:p>
                            <w:pPr>
                              <w:spacing w:line="360" w:lineRule="exact"/>
                              <w:jc w:val="center"/>
                              <w:rPr>
                                <w:color w:val="002060"/>
                                <w:sz w:val="24"/>
                                <w:szCs w:val="24"/>
                              </w:rPr>
                            </w:pPr>
                            <w:r>
                              <w:rPr>
                                <w:rFonts w:hint="eastAsia"/>
                                <w:color w:val="000000" w:themeColor="text1"/>
                                <w:sz w:val="24"/>
                                <w:szCs w:val="24"/>
                                <w14:textFill>
                                  <w14:solidFill>
                                    <w14:schemeClr w14:val="tx1"/>
                                  </w14:solidFill>
                                </w14:textFill>
                              </w:rPr>
                              <w:t>（管理员）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5.85pt;margin-top:12.7pt;height:95.7pt;width:100.95pt;z-index:251660288;v-text-anchor:middle;mso-width-relative:page;mso-height-relative:page;" filled="f" stroked="t" coordsize="21600,21600" o:gfxdata="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pgoftkAAAAKAQAADwAAAAAAAAABACAAAAAiAAAAZHJzL2Rvd25yZXYueG1sUEsBAhQA&#10;FAAAAAgAh07iQPYtvwBjAgAAwgQAAA4AAAAAAAAAAQAgAAAAKAEAAGRycy9lMm9Eb2MueG1sUEsF&#10;BgAAAAAGAAYAWQEAAP0FAAAAAA==&#10;">
                <v:fill on="f" focussize="0,0"/>
                <v:stroke weight="1pt" color="#000000 [3213]" joinstyle="round"/>
                <v:imagedata o:title=""/>
                <o:lock v:ext="edit" aspectratio="f"/>
                <v:textbox>
                  <w:txbxContent>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目标岗位</w:t>
                      </w:r>
                    </w:p>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（技术员）</w:t>
                      </w:r>
                    </w:p>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（维修员）</w:t>
                      </w:r>
                    </w:p>
                    <w:p>
                      <w:pPr>
                        <w:spacing w:line="360" w:lineRule="exact"/>
                        <w:jc w:val="center"/>
                        <w:rPr>
                          <w:color w:val="002060"/>
                          <w:sz w:val="24"/>
                          <w:szCs w:val="24"/>
                        </w:rPr>
                      </w:pPr>
                      <w:r>
                        <w:rPr>
                          <w:rFonts w:hint="eastAsia"/>
                          <w:color w:val="000000" w:themeColor="text1"/>
                          <w:sz w:val="24"/>
                          <w:szCs w:val="24"/>
                          <w14:textFill>
                            <w14:solidFill>
                              <w14:schemeClr w14:val="tx1"/>
                            </w14:solidFill>
                          </w14:textFill>
                        </w:rPr>
                        <w:t>（管理员）</w:t>
                      </w:r>
                    </w:p>
                  </w:txbxContent>
                </v:textbox>
              </v:rect>
            </w:pict>
          </mc:Fallback>
        </mc:AlternateContent>
      </w:r>
      <w:r>
        <w:rPr>
          <w:color w:val="000000" w:themeColor="text1"/>
          <w:sz w:val="28"/>
          <w:szCs w:val="2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161290</wp:posOffset>
                </wp:positionV>
                <wp:extent cx="1282065" cy="1224915"/>
                <wp:effectExtent l="6350" t="6350" r="6985" b="6985"/>
                <wp:wrapNone/>
                <wp:docPr id="14" name="矩形 14"/>
                <wp:cNvGraphicFramePr/>
                <a:graphic xmlns:a="http://schemas.openxmlformats.org/drawingml/2006/main">
                  <a:graphicData uri="http://schemas.microsoft.com/office/word/2010/wordprocessingShape">
                    <wps:wsp>
                      <wps:cNvSpPr/>
                      <wps:spPr>
                        <a:xfrm>
                          <a:off x="1350645" y="8016240"/>
                          <a:ext cx="1282065" cy="1224915"/>
                        </a:xfrm>
                        <a:prstGeom prst="rect">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初始岗位</w:t>
                            </w:r>
                          </w:p>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（操作员）</w:t>
                            </w:r>
                          </w:p>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（调试员）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pt;margin-top:12.7pt;height:96.45pt;width:100.95pt;z-index:251659264;v-text-anchor:middle;mso-width-relative:page;mso-height-relative:page;" filled="f" stroked="t" coordsize="21600,21600" o:gfxdata="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9ZLlK9gAAAAJAQAADwAAAAAAAAABACAAAAAiAAAAZHJzL2Rvd25y&#10;ZXYueG1sUEsBAhQAFAAAAAgAh07iQPRRWPBwAgAAzgQAAA4AAAAAAAAAAQAgAAAAJwEAAGRycy9l&#10;Mm9Eb2MueG1sUEsFBgAAAAAGAAYAWQEAAAkGAAAAAA==&#10;">
                <v:fill on="f" focussize="0,0"/>
                <v:stroke weight="1pt" color="#000000 [3213]" joinstyle="round"/>
                <v:imagedata o:title=""/>
                <o:lock v:ext="edit" aspectratio="f"/>
                <v:textbox>
                  <w:txbxContent>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初始岗位</w:t>
                      </w:r>
                    </w:p>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（操作员）</w:t>
                      </w:r>
                    </w:p>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（调试员）</w:t>
                      </w:r>
                    </w:p>
                  </w:txbxContent>
                </v:textbox>
              </v:rect>
            </w:pict>
          </mc:Fallback>
        </mc:AlternateContent>
      </w:r>
    </w:p>
    <w:p>
      <w:pPr>
        <w:wordWrap w:val="0"/>
        <w:spacing w:line="560" w:lineRule="exact"/>
        <w:ind w:firstLine="560" w:firstLineChars="200"/>
        <w:jc w:val="left"/>
        <w:outlineLvl w:val="0"/>
        <w:rPr>
          <w:rFonts w:ascii="黑体" w:hAnsi="黑体" w:eastAsia="黑体" w:cs="黑体"/>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3651885</wp:posOffset>
                </wp:positionH>
                <wp:positionV relativeFrom="paragraph">
                  <wp:posOffset>314325</wp:posOffset>
                </wp:positionV>
                <wp:extent cx="700405" cy="194945"/>
                <wp:effectExtent l="4445" t="4445" r="19050" b="10160"/>
                <wp:wrapNone/>
                <wp:docPr id="19" name="燕尾形 19"/>
                <wp:cNvGraphicFramePr/>
                <a:graphic xmlns:a="http://schemas.openxmlformats.org/drawingml/2006/main">
                  <a:graphicData uri="http://schemas.microsoft.com/office/word/2010/wordprocessingShape">
                    <wps:wsp>
                      <wps:cNvSpPr/>
                      <wps:spPr>
                        <a:xfrm>
                          <a:off x="0" y="0"/>
                          <a:ext cx="700405" cy="194945"/>
                        </a:xfrm>
                        <a:prstGeom prst="chevron">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5" type="#_x0000_t55" style="position:absolute;left:0pt;margin-left:287.55pt;margin-top:24.75pt;height:15.35pt;width:55.15pt;z-index:251665408;v-text-anchor:middle;mso-width-relative:page;mso-height-relative:page;" filled="f" stroked="t" coordsize="21600,21600" o:gfxdata="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AH67nrZAAAACQEAAA8AAAAAAAAAAQAgAAAAIgAAAGRycy9kb3ducmV2LnhtbFBLAQIU&#10;ABQAAAAIAIdO4kDsdJ9hZAIAALoEAAAOAAAAAAAAAAEAIAAAACgBAABkcnMvZTJvRG9jLnhtbFBL&#10;BQYAAAAABgAGAFkBAAD+BQAAAAA=&#10;" adj="18595">
                <v:fill on="f" focussize="0,0"/>
                <v:stroke color="#000000 [3213]" joinstyle="round"/>
                <v:imagedata o:title=""/>
                <o:lock v:ext="edit" aspectratio="f"/>
              </v:shape>
            </w:pict>
          </mc:Fallback>
        </mc:AlternateContent>
      </w:r>
      <w:r>
        <w:rPr>
          <w:color w:val="000000" w:themeColor="text1"/>
          <w:sz w:val="28"/>
          <w:szCs w:val="28"/>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1642745</wp:posOffset>
                </wp:positionH>
                <wp:positionV relativeFrom="paragraph">
                  <wp:posOffset>314325</wp:posOffset>
                </wp:positionV>
                <wp:extent cx="700405" cy="222250"/>
                <wp:effectExtent l="4445" t="5080" r="19050" b="20320"/>
                <wp:wrapNone/>
                <wp:docPr id="18" name="燕尾形 18"/>
                <wp:cNvGraphicFramePr/>
                <a:graphic xmlns:a="http://schemas.openxmlformats.org/drawingml/2006/main">
                  <a:graphicData uri="http://schemas.microsoft.com/office/word/2010/wordprocessingShape">
                    <wps:wsp>
                      <wps:cNvSpPr/>
                      <wps:spPr>
                        <a:xfrm>
                          <a:off x="2675890" y="8524875"/>
                          <a:ext cx="700405" cy="222250"/>
                        </a:xfrm>
                        <a:prstGeom prst="chevron">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5" type="#_x0000_t55" style="position:absolute;left:0pt;margin-left:129.35pt;margin-top:24.75pt;height:17.5pt;width:55.15pt;z-index:251663360;v-text-anchor:middle;mso-width-relative:page;mso-height-relative:page;" filled="f" stroked="t" coordsize="21600,21600" o:gfxdata="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GDMK9TbAAAACQEAAA8AAAAAAAAAAQAgAAAAIgAAAGRycy9k&#10;b3ducmV2LnhtbFBLAQIUABQAAAAIAIdO4kArUAN3cQIAAMYEAAAOAAAAAAAAAAEAIAAAACoBAABk&#10;cnMvZTJvRG9jLnhtbFBLBQYAAAAABgAGAFkBAAANBgAAAAA=&#10;" adj="18173">
                <v:fill on="f" focussize="0,0"/>
                <v:stroke color="#000000 [3213]" joinstyle="round"/>
                <v:imagedata o:title=""/>
                <o:lock v:ext="edit" aspectratio="f"/>
              </v:shape>
            </w:pict>
          </mc:Fallback>
        </mc:AlternateContent>
      </w:r>
    </w:p>
    <w:p>
      <w:pPr>
        <w:wordWrap w:val="0"/>
        <w:spacing w:line="560" w:lineRule="exact"/>
        <w:ind w:firstLine="560" w:firstLineChars="200"/>
        <w:jc w:val="left"/>
        <w:outlineLvl w:val="0"/>
        <w:rPr>
          <w:rFonts w:ascii="黑体" w:hAnsi="黑体" w:eastAsia="黑体" w:cs="黑体"/>
          <w:bCs/>
          <w:color w:val="000000" w:themeColor="text1"/>
          <w:sz w:val="28"/>
          <w:szCs w:val="28"/>
          <w14:textFill>
            <w14:solidFill>
              <w14:schemeClr w14:val="tx1"/>
            </w14:solidFill>
          </w14:textFill>
        </w:rPr>
      </w:pPr>
    </w:p>
    <w:p>
      <w:pPr>
        <w:wordWrap w:val="0"/>
        <w:spacing w:line="560" w:lineRule="exact"/>
        <w:ind w:firstLine="560" w:firstLineChars="200"/>
        <w:jc w:val="left"/>
        <w:outlineLvl w:val="0"/>
        <w:rPr>
          <w:rFonts w:ascii="黑体" w:hAnsi="黑体" w:eastAsia="黑体" w:cs="黑体"/>
          <w:bCs/>
          <w:color w:val="000000" w:themeColor="text1"/>
          <w:sz w:val="28"/>
          <w:szCs w:val="28"/>
          <w14:textFill>
            <w14:solidFill>
              <w14:schemeClr w14:val="tx1"/>
            </w14:solidFill>
          </w14:textFill>
        </w:rPr>
      </w:pPr>
    </w:p>
    <w:p>
      <w:pPr>
        <w:wordWrap w:val="0"/>
        <w:spacing w:line="480" w:lineRule="exact"/>
        <w:ind w:firstLine="560" w:firstLineChars="200"/>
        <w:jc w:val="left"/>
        <w:outlineLvl w:val="0"/>
        <w:rPr>
          <w:rFonts w:ascii="黑体" w:hAnsi="黑体" w:eastAsia="黑体" w:cs="黑体"/>
          <w:bCs/>
          <w:color w:val="000000" w:themeColor="text1"/>
          <w:sz w:val="28"/>
          <w:szCs w:val="28"/>
          <w14:textFill>
            <w14:solidFill>
              <w14:schemeClr w14:val="tx1"/>
            </w14:solidFill>
          </w14:textFill>
        </w:rPr>
      </w:pPr>
      <w:bookmarkStart w:id="15" w:name="_Toc7860"/>
      <w:r>
        <w:rPr>
          <w:rFonts w:hint="eastAsia" w:ascii="黑体" w:hAnsi="黑体" w:eastAsia="黑体" w:cs="黑体"/>
          <w:bCs/>
          <w:color w:val="000000" w:themeColor="text1"/>
          <w:sz w:val="28"/>
          <w:szCs w:val="28"/>
          <w14:textFill>
            <w14:solidFill>
              <w14:schemeClr w14:val="tx1"/>
            </w14:solidFill>
          </w14:textFill>
        </w:rPr>
        <w:t>五、培养目标与规格</w:t>
      </w:r>
      <w:bookmarkEnd w:id="15"/>
    </w:p>
    <w:p>
      <w:pPr>
        <w:pStyle w:val="80"/>
        <w:spacing w:line="480" w:lineRule="exact"/>
        <w:ind w:firstLine="560" w:firstLineChars="200"/>
        <w:outlineLvl w:val="1"/>
        <w:rPr>
          <w:rFonts w:ascii="楷体_GB2312" w:hAnsi="楷体_GB2312" w:eastAsia="楷体_GB2312" w:cs="楷体_GB2312"/>
          <w:b w:val="0"/>
          <w:bCs/>
          <w:color w:val="000000" w:themeColor="text1"/>
          <w:sz w:val="28"/>
          <w:szCs w:val="28"/>
          <w14:textFill>
            <w14:solidFill>
              <w14:schemeClr w14:val="tx1"/>
            </w14:solidFill>
          </w14:textFill>
        </w:rPr>
      </w:pPr>
      <w:bookmarkStart w:id="16" w:name="_Toc31453"/>
      <w:bookmarkStart w:id="17" w:name="_Toc38201834"/>
      <w:bookmarkStart w:id="18" w:name="_Toc38299247"/>
      <w:bookmarkStart w:id="19" w:name="_Toc38201837"/>
      <w:bookmarkStart w:id="20" w:name="_Toc38299250"/>
      <w:r>
        <w:rPr>
          <w:rFonts w:hint="eastAsia" w:ascii="楷体_GB2312" w:hAnsi="楷体_GB2312" w:eastAsia="楷体_GB2312" w:cs="楷体_GB2312"/>
          <w:b w:val="0"/>
          <w:bCs/>
          <w:color w:val="000000" w:themeColor="text1"/>
          <w:sz w:val="28"/>
          <w:szCs w:val="28"/>
          <w14:textFill>
            <w14:solidFill>
              <w14:schemeClr w14:val="tx1"/>
            </w14:solidFill>
          </w14:textFill>
        </w:rPr>
        <w:t>（一）培养目标</w:t>
      </w:r>
      <w:bookmarkEnd w:id="16"/>
      <w:bookmarkEnd w:id="17"/>
      <w:bookmarkEnd w:id="18"/>
    </w:p>
    <w:p>
      <w:pPr>
        <w:widowControl/>
        <w:spacing w:line="480" w:lineRule="exact"/>
        <w:ind w:firstLine="560" w:firstLineChars="200"/>
        <w:jc w:val="left"/>
        <w:rPr>
          <w:rFonts w:ascii="仿宋_GB2312" w:hAnsi="仿宋_GB2312" w:eastAsia="仿宋_GB2312" w:cs="仿宋_GB2312"/>
          <w:color w:val="000000" w:themeColor="text1"/>
          <w:kern w:val="0"/>
          <w:sz w:val="28"/>
          <w:szCs w:val="28"/>
          <w14:textFill>
            <w14:solidFill>
              <w14:schemeClr w14:val="tx1"/>
            </w14:solidFill>
          </w14:textFill>
        </w:rPr>
      </w:pPr>
      <w:bookmarkStart w:id="21" w:name="_Toc38201835"/>
      <w:bookmarkStart w:id="22" w:name="_Toc38299248"/>
      <w:r>
        <w:rPr>
          <w:rFonts w:hint="eastAsia" w:ascii="仿宋_GB2312" w:hAnsi="仿宋_GB2312" w:eastAsia="仿宋_GB2312" w:cs="仿宋_GB2312"/>
          <w:color w:val="000000" w:themeColor="text1"/>
          <w:kern w:val="0"/>
          <w:sz w:val="28"/>
          <w:szCs w:val="28"/>
          <w14:textFill>
            <w14:solidFill>
              <w14:schemeClr w14:val="tx1"/>
            </w14:solidFill>
          </w14:textFill>
        </w:rPr>
        <w:t>本专业培养理想信念坚定，德、智、体、美、劳全面发展，具有一定的科学文化水平，良好的人文素养、职业道德和创新精神，精益求精的工匠精神，较强的就业能力和可持续发展的能力，掌握本专业知识和技术技能，面向</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发电变电</w:t>
      </w:r>
      <w:r>
        <w:rPr>
          <w:rFonts w:hint="eastAsia" w:ascii="仿宋_GB2312" w:hAnsi="仿宋_GB2312" w:eastAsia="仿宋_GB2312" w:cs="仿宋_GB2312"/>
          <w:color w:val="000000" w:themeColor="text1"/>
          <w:kern w:val="0"/>
          <w:sz w:val="28"/>
          <w:szCs w:val="28"/>
          <w14:textFill>
            <w14:solidFill>
              <w14:schemeClr w14:val="tx1"/>
            </w14:solidFill>
          </w14:textFill>
        </w:rPr>
        <w:t>职业群（或技术能力领域），能够从事</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电力系统运行与维护、检修与调试，电力工程基层技术管理，电力供应与服务</w:t>
      </w:r>
      <w:r>
        <w:rPr>
          <w:rFonts w:hint="eastAsia" w:ascii="仿宋_GB2312" w:hAnsi="仿宋_GB2312" w:eastAsia="仿宋_GB2312" w:cs="仿宋_GB2312"/>
          <w:color w:val="000000" w:themeColor="text1"/>
          <w:kern w:val="0"/>
          <w:sz w:val="28"/>
          <w:szCs w:val="28"/>
          <w14:textFill>
            <w14:solidFill>
              <w14:schemeClr w14:val="tx1"/>
            </w14:solidFill>
          </w14:textFill>
        </w:rPr>
        <w:t>等工作，具有职业发展能力的高素质技术技能人才。</w:t>
      </w:r>
    </w:p>
    <w:p>
      <w:pPr>
        <w:pStyle w:val="80"/>
        <w:spacing w:line="480" w:lineRule="exact"/>
        <w:ind w:firstLine="560" w:firstLineChars="200"/>
        <w:outlineLvl w:val="1"/>
        <w:rPr>
          <w:rFonts w:ascii="楷体" w:hAnsi="楷体" w:eastAsia="楷体" w:cs="楷体"/>
          <w:b w:val="0"/>
          <w:bCs/>
          <w:color w:val="000000" w:themeColor="text1"/>
          <w:sz w:val="28"/>
          <w:szCs w:val="28"/>
          <w14:textFill>
            <w14:solidFill>
              <w14:schemeClr w14:val="tx1"/>
            </w14:solidFill>
          </w14:textFill>
        </w:rPr>
      </w:pPr>
      <w:bookmarkStart w:id="23" w:name="_Toc20435"/>
      <w:r>
        <w:rPr>
          <w:rFonts w:hint="eastAsia" w:ascii="楷体" w:hAnsi="楷体" w:eastAsia="楷体" w:cs="楷体"/>
          <w:b w:val="0"/>
          <w:bCs/>
          <w:color w:val="000000" w:themeColor="text1"/>
          <w:sz w:val="28"/>
          <w:szCs w:val="28"/>
          <w14:textFill>
            <w14:solidFill>
              <w14:schemeClr w14:val="tx1"/>
            </w14:solidFill>
          </w14:textFill>
        </w:rPr>
        <w:t>（二）培养规格</w:t>
      </w:r>
      <w:bookmarkEnd w:id="21"/>
      <w:bookmarkEnd w:id="22"/>
      <w:bookmarkEnd w:id="23"/>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本专业毕业生应在素质、知识和能力等方面达到以下要求。</w:t>
      </w:r>
    </w:p>
    <w:p>
      <w:pPr>
        <w:snapToGrid w:val="0"/>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1.基本素质</w:t>
      </w:r>
    </w:p>
    <w:p>
      <w:pPr>
        <w:snapToGrid w:val="0"/>
        <w:spacing w:line="480" w:lineRule="exact"/>
        <w:ind w:firstLine="560"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（1）政治思想素质：</w:t>
      </w:r>
      <w:r>
        <w:rPr>
          <w:rFonts w:hint="eastAsia" w:ascii="仿宋_GB2312" w:hAnsi="仿宋_GB2312" w:eastAsia="仿宋_GB2312" w:cs="仿宋_GB2312"/>
          <w:color w:val="000000" w:themeColor="text1"/>
          <w:sz w:val="28"/>
          <w:szCs w:val="28"/>
          <w14:textFill>
            <w14:solidFill>
              <w14:schemeClr w14:val="tx1"/>
            </w14:solidFill>
          </w14:textFill>
        </w:rPr>
        <w:t>坚定拥护中国共产党领导和中国特色社会主义制度，在习近平新时代中国特色社会主义思想指引下，践行社会主义核心价值观，具有深厚的爱国情感和中华民族自豪感。崇尚宪法、遵纪守法、崇德向善、诚实守信、尊重生命、热爱劳动，履行道德准则和行为规范，具有社会责任感和社会参与意识。</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（2）文化素质：</w:t>
      </w:r>
      <w:r>
        <w:rPr>
          <w:rFonts w:hint="eastAsia" w:ascii="仿宋_GB2312" w:hAnsi="仿宋_GB2312" w:eastAsia="仿宋_GB2312" w:cs="仿宋_GB2312"/>
          <w:color w:val="000000" w:themeColor="text1"/>
          <w:sz w:val="28"/>
          <w:szCs w:val="28"/>
          <w14:textFill>
            <w14:solidFill>
              <w14:schemeClr w14:val="tx1"/>
            </w14:solidFill>
          </w14:textFill>
        </w:rPr>
        <w:t>具有较为宽阔的视野，文理交融。具有一定的科学思维和科学探索精神，具备一定的文化素养和文学功底，具备健康、高雅的审美情趣和正确的审美观点、较强的审美能力。</w:t>
      </w:r>
    </w:p>
    <w:p>
      <w:pPr>
        <w:snapToGrid w:val="0"/>
        <w:spacing w:line="480" w:lineRule="exact"/>
        <w:ind w:firstLine="560"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（3）身体和心理素质：</w:t>
      </w:r>
      <w:r>
        <w:rPr>
          <w:rFonts w:hint="eastAsia" w:ascii="仿宋_GB2312" w:hAnsi="仿宋_GB2312" w:eastAsia="仿宋_GB2312" w:cs="仿宋_GB2312"/>
          <w:color w:val="000000" w:themeColor="text1"/>
          <w:sz w:val="28"/>
          <w:szCs w:val="28"/>
          <w14:textFill>
            <w14:solidFill>
              <w14:schemeClr w14:val="tx1"/>
            </w14:solidFill>
          </w14:textFill>
        </w:rPr>
        <w:t>具有健康的体魄、心理和健全的人格，养成良好的健身与卫生习惯，以及良好的行为习惯。</w:t>
      </w:r>
    </w:p>
    <w:p>
      <w:pPr>
        <w:snapToGrid w:val="0"/>
        <w:spacing w:line="480" w:lineRule="exact"/>
        <w:ind w:firstLine="560"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（4）专业素质：</w:t>
      </w:r>
      <w:r>
        <w:rPr>
          <w:rFonts w:hint="eastAsia" w:ascii="仿宋_GB2312" w:hAnsi="仿宋_GB2312" w:eastAsia="仿宋_GB2312" w:cs="仿宋_GB2312"/>
          <w:color w:val="000000" w:themeColor="text1"/>
          <w:sz w:val="28"/>
          <w:szCs w:val="28"/>
          <w14:textFill>
            <w14:solidFill>
              <w14:schemeClr w14:val="tx1"/>
            </w14:solidFill>
          </w14:textFill>
        </w:rPr>
        <w:t>具有良好的职业道德和敬业精神，做到吃苦耐劳、踏实肯干。树立诚实守信意识和责任意识，有良好的社会责任感和使命感。能够严格遵守职业规范及操作规程，具有较强的安全和环保意识。</w:t>
      </w:r>
    </w:p>
    <w:p>
      <w:pPr>
        <w:snapToGrid w:val="0"/>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2.知识要求</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（1）掌握必备的思想政治理论、科学文化基础知识和中华优秀传统文化知识。</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（2）熟悉与本专业相关的法律法规以及环境保护、安全消防等知识。</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（3）掌握机械基础基本知识和机械、电气识图的基本方法、计算机应用等基础知识。</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（4）掌握本专业必须的电工、电子技术和电机技术的基础理论知识。</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（5）掌握发电厂、变电站电气设备的基本结构和工作原理。</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（6）掌握电力系统运行的基本知识和故障分析的基本理论。</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（7）掌握电气绝缘介质特性及高电压实验方法，以及过电压基础理论知识。</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（8）掌握电力系统继电保护、自动装置及自动化技术的基本理论及运行知识。</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（9）掌握发电厂、变电站电气运行，电气设备维护、安装与调试等方面的知识。</w:t>
      </w:r>
    </w:p>
    <w:p>
      <w:pPr>
        <w:snapToGrid w:val="0"/>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3.能力要求</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（1）具有探究学习、终身学习、分析问题和解决问题的能力。</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（2）具有良好的语言、文字表达能力和沟通能力。</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（3）具有一定的计算机应用能力，熟练使用常用办公软件等。</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（4）具有电工、电子技术基础工艺和操作的能力。</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（5）具有发电厂、变电站电气设备巡视监控、倒闸操作、异常事故处理的能力。</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（6）具有电气一、二次回路制图和识图的能力。</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（7）具有对电气设备进行配置、选择、安装、调试的能力。</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（8）具有高电压电气试验能力及发电厂、变电站过压保护配置能力。</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（9）具有继电保护和自动装置的安装、调试与简单整定计算的能力。</w:t>
      </w:r>
    </w:p>
    <w:p>
      <w:pPr>
        <w:snapToGrid w:val="0"/>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4.职业态度</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（1）职业道德：增强学生的诚信品质、敬业精神、责任意识和遵纪守法意识，不谋私利、公道正派、廉洁自律、坚持原则。</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（2）职业行为：严格执行相关职业岗位标准和安全操作规程。能严格遵守企业相关管理制度，养成吃苦耐劳、乐于奉献的职业品质。</w:t>
      </w:r>
    </w:p>
    <w:p>
      <w:pPr>
        <w:snapToGrid w:val="0"/>
        <w:spacing w:line="480" w:lineRule="exact"/>
        <w:ind w:firstLine="560" w:firstLineChars="200"/>
        <w:outlineLvl w:val="1"/>
        <w:rPr>
          <w:rFonts w:ascii="楷体" w:hAnsi="楷体" w:eastAsia="楷体" w:cs="楷体"/>
          <w:bCs/>
          <w:color w:val="000000" w:themeColor="text1"/>
          <w:sz w:val="28"/>
          <w:szCs w:val="28"/>
          <w14:textFill>
            <w14:solidFill>
              <w14:schemeClr w14:val="tx1"/>
            </w14:solidFill>
          </w14:textFill>
        </w:rPr>
      </w:pPr>
      <w:bookmarkStart w:id="24" w:name="_Toc9617"/>
      <w:r>
        <w:rPr>
          <w:rFonts w:hint="eastAsia" w:ascii="楷体" w:hAnsi="楷体" w:eastAsia="楷体" w:cs="楷体"/>
          <w:bCs/>
          <w:color w:val="000000" w:themeColor="text1"/>
          <w:sz w:val="28"/>
          <w:szCs w:val="28"/>
          <w14:textFill>
            <w14:solidFill>
              <w14:schemeClr w14:val="tx1"/>
            </w14:solidFill>
          </w14:textFill>
        </w:rPr>
        <w:t>（三）创新创业能力的培养</w:t>
      </w:r>
      <w:bookmarkEnd w:id="24"/>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转变观念，培养创新创业意识：通过学校的教育活动，充分挖掘大学生丰富的创造潜能，增强学生的自信心，并使之以全新的观念审视自己，意识到自己所拥有的丰富创造力,并深刻感受到创造可以体现在自己的学习、工作、生活等各个方面。</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2.改革教育理念，实现由就业型人才培养目标向创业型人才培养目标的转变。改进教学方法，从以传授知识为中心转变为以培养学生创新能力为中心，以人为本，构建创新人才培养的教育模式。</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3.组织各类竞赛及学术讲座，协调大学生的个性发展，促进大学生在创新创业方面得以充分发挥个人才能。</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建立健全激励机制：为激励大学生创新创业热情，学校应从多方面营造创新型校园文化，通过创新文化潜移默化地影响学生，逐步内化为学生的素质，增强学生的求知欲望．从而激发学生的创新思维，提高学生的创新能力。同时，奖励在创新创业方面有突出贡献的学生。</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p>
    <w:p>
      <w:pPr>
        <w:pStyle w:val="35"/>
        <w:spacing w:line="520" w:lineRule="exact"/>
        <w:ind w:left="319" w:leftChars="152" w:firstLine="281" w:firstLineChars="100"/>
        <w:rPr>
          <w:rFonts w:ascii="黑体" w:hAnsi="黑体" w:eastAsia="黑体" w:cs="黑体"/>
          <w:color w:val="000000" w:themeColor="text1"/>
          <w14:textFill>
            <w14:solidFill>
              <w14:schemeClr w14:val="tx1"/>
            </w14:solidFill>
          </w14:textFill>
        </w:rPr>
      </w:pPr>
      <w:bookmarkStart w:id="25" w:name="_Toc13220"/>
      <w:r>
        <w:rPr>
          <w:rFonts w:hint="eastAsia" w:ascii="黑体" w:hAnsi="黑体" w:eastAsia="黑体" w:cs="黑体"/>
          <w:color w:val="000000" w:themeColor="text1"/>
          <w14:textFill>
            <w14:solidFill>
              <w14:schemeClr w14:val="tx1"/>
            </w14:solidFill>
          </w14:textFill>
        </w:rPr>
        <w:t>六、课程设置及要求</w:t>
      </w:r>
      <w:bookmarkEnd w:id="19"/>
      <w:bookmarkEnd w:id="20"/>
      <w:bookmarkEnd w:id="25"/>
      <w:r>
        <w:rPr>
          <w:rFonts w:hint="eastAsia" w:ascii="黑体" w:hAnsi="黑体" w:eastAsia="黑体" w:cs="黑体"/>
          <w:color w:val="000000" w:themeColor="text1"/>
          <w14:textFill>
            <w14:solidFill>
              <w14:schemeClr w14:val="tx1"/>
            </w14:solidFill>
          </w14:textFill>
        </w:rPr>
        <w:t xml:space="preserve"> </w:t>
      </w:r>
    </w:p>
    <w:p>
      <w:pPr>
        <w:pStyle w:val="80"/>
        <w:spacing w:line="520" w:lineRule="exact"/>
        <w:ind w:firstLine="560" w:firstLineChars="200"/>
        <w:outlineLvl w:val="9"/>
        <w:rPr>
          <w:rFonts w:ascii="楷体_GB2312" w:hAnsi="楷体_GB2312" w:eastAsia="楷体_GB2312" w:cs="楷体_GB2312"/>
          <w:b w:val="0"/>
          <w:bCs/>
          <w:color w:val="000000" w:themeColor="text1"/>
          <w:sz w:val="28"/>
          <w:szCs w:val="28"/>
          <w14:textFill>
            <w14:solidFill>
              <w14:schemeClr w14:val="tx1"/>
            </w14:solidFill>
          </w14:textFill>
        </w:rPr>
      </w:pPr>
      <w:bookmarkStart w:id="26" w:name="_Toc38299251"/>
      <w:bookmarkStart w:id="27" w:name="_Toc38201838"/>
      <w:bookmarkStart w:id="28" w:name="_Toc29687"/>
      <w:r>
        <w:rPr>
          <w:rFonts w:hint="eastAsia" w:ascii="楷体_GB2312" w:hAnsi="楷体_GB2312" w:eastAsia="楷体_GB2312" w:cs="楷体_GB2312"/>
          <w:b w:val="0"/>
          <w:bCs/>
          <w:color w:val="000000" w:themeColor="text1"/>
          <w:sz w:val="28"/>
          <w:szCs w:val="28"/>
          <w14:textFill>
            <w14:solidFill>
              <w14:schemeClr w14:val="tx1"/>
            </w14:solidFill>
          </w14:textFill>
        </w:rPr>
        <w:t>（一）本专业公共基础课设置</w:t>
      </w:r>
      <w:bookmarkEnd w:id="26"/>
      <w:bookmarkEnd w:id="27"/>
      <w:bookmarkEnd w:id="28"/>
    </w:p>
    <w:tbl>
      <w:tblPr>
        <w:tblStyle w:val="27"/>
        <w:tblW w:w="9308" w:type="dxa"/>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1000"/>
        <w:gridCol w:w="3834"/>
        <w:gridCol w:w="4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46" w:type="dxa"/>
            <w:vAlign w:val="center"/>
          </w:tcPr>
          <w:p>
            <w:pPr>
              <w:snapToGrid w:val="0"/>
              <w:jc w:val="center"/>
              <w:rPr>
                <w:rFonts w:ascii="宋体" w:hAnsi="宋体" w:eastAsia="宋体" w:cs="宋体"/>
                <w:szCs w:val="21"/>
              </w:rPr>
            </w:pPr>
            <w:r>
              <w:rPr>
                <w:rFonts w:hint="eastAsia" w:ascii="宋体" w:hAnsi="宋体" w:eastAsia="宋体" w:cs="宋体"/>
                <w:szCs w:val="21"/>
              </w:rPr>
              <w:t>序号</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课程名称</w:t>
            </w:r>
          </w:p>
        </w:tc>
        <w:tc>
          <w:tcPr>
            <w:tcW w:w="3834" w:type="dxa"/>
            <w:vAlign w:val="center"/>
          </w:tcPr>
          <w:p>
            <w:pPr>
              <w:snapToGrid w:val="0"/>
              <w:jc w:val="center"/>
              <w:rPr>
                <w:rFonts w:ascii="宋体" w:hAnsi="宋体" w:eastAsia="宋体" w:cs="宋体"/>
                <w:szCs w:val="21"/>
              </w:rPr>
            </w:pPr>
            <w:r>
              <w:rPr>
                <w:rFonts w:hint="eastAsia" w:ascii="宋体" w:hAnsi="宋体" w:eastAsia="宋体" w:cs="宋体"/>
                <w:szCs w:val="21"/>
              </w:rPr>
              <w:t>课程目标</w:t>
            </w:r>
          </w:p>
        </w:tc>
        <w:tc>
          <w:tcPr>
            <w:tcW w:w="4028" w:type="dxa"/>
            <w:vAlign w:val="center"/>
          </w:tcPr>
          <w:p>
            <w:pPr>
              <w:snapToGrid w:val="0"/>
              <w:jc w:val="center"/>
              <w:rPr>
                <w:rFonts w:ascii="宋体" w:hAnsi="宋体" w:eastAsia="宋体" w:cs="宋体"/>
                <w:szCs w:val="21"/>
              </w:rPr>
            </w:pPr>
            <w:r>
              <w:rPr>
                <w:rFonts w:hint="eastAsia" w:ascii="宋体" w:hAnsi="宋体" w:eastAsia="宋体" w:cs="宋体"/>
                <w:szCs w:val="21"/>
              </w:rPr>
              <w:t>主要教学内容与要求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szCs w:val="21"/>
              </w:rPr>
            </w:pPr>
            <w:r>
              <w:rPr>
                <w:rFonts w:hint="eastAsia" w:ascii="宋体" w:hAnsi="宋体" w:eastAsia="宋体" w:cs="宋体"/>
                <w:color w:val="404040"/>
                <w:szCs w:val="21"/>
                <w:shd w:val="clear" w:color="000000" w:fill="FFFFFF"/>
              </w:rPr>
              <w:t>1</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形势与政策</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帮助学生掌握全面思考、理性分析时事热点的方法和技巧，培养学生应对时政热点的理性思维。解决学生在面对错误思潮和不良宣传时容易出现的思想困惑、立场不稳等政治素质问题，使他们自觉抵制各种不良思潮和言论的影响，在思想上与党中央保持高度一致。</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帮助大学生正确认识新时代国内外形势，深刻领会党的十八大以来党和国家事业取得的历史性成就、发生的历史性变革、面临的历史性机遇和挑战。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szCs w:val="21"/>
              </w:rPr>
            </w:pPr>
            <w:r>
              <w:rPr>
                <w:rFonts w:hint="eastAsia" w:ascii="宋体" w:hAnsi="宋体" w:eastAsia="宋体" w:cs="宋体"/>
                <w:color w:val="404040"/>
                <w:szCs w:val="21"/>
                <w:shd w:val="clear" w:color="000000" w:fill="FFFFFF"/>
              </w:rPr>
              <w:t>2</w:t>
            </w:r>
          </w:p>
        </w:tc>
        <w:tc>
          <w:tcPr>
            <w:tcW w:w="1000" w:type="dxa"/>
            <w:vAlign w:val="center"/>
          </w:tcPr>
          <w:p>
            <w:pPr>
              <w:snapToGrid w:val="0"/>
              <w:jc w:val="center"/>
              <w:rPr>
                <w:rFonts w:ascii="宋体" w:hAnsi="宋体" w:eastAsia="宋体" w:cs="宋体"/>
                <w:szCs w:val="21"/>
                <w:shd w:val="clear" w:color="000000" w:fill="FFFFFF"/>
              </w:rPr>
            </w:pPr>
            <w:r>
              <w:rPr>
                <w:rFonts w:hint="eastAsia" w:ascii="宋体" w:hAnsi="宋体" w:eastAsia="宋体" w:cs="宋体"/>
                <w:szCs w:val="21"/>
              </w:rPr>
              <w:t>军训</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本课程是加强大学生思想政治教育，提高大学生素质的重要措施。同时也增强学生国防观念和国家安全意识，提高思想觉悟，激发爱国热情，培养吃苦耐劳的精神，强化爱国主义、集体主义观念。</w:t>
            </w:r>
          </w:p>
        </w:tc>
        <w:tc>
          <w:tcPr>
            <w:tcW w:w="4028" w:type="dxa"/>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大学生军训课程使每名同学掌握单个军人队列动作要领。养成良好的素质和优良作风。课程内容包括: 1.单个军人队列动作（立正、稍息、跨立；停止间转法；行进与立定；步法变换；坐下，蹲下，起立）。2.整理内务卫生。3.紧急集合和疏散4.红歌学唱。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3</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军事</w:t>
            </w:r>
          </w:p>
          <w:p>
            <w:pPr>
              <w:snapToGrid w:val="0"/>
              <w:jc w:val="center"/>
              <w:rPr>
                <w:rFonts w:ascii="宋体" w:hAnsi="宋体" w:eastAsia="宋体" w:cs="宋体"/>
                <w:szCs w:val="21"/>
              </w:rPr>
            </w:pPr>
            <w:r>
              <w:rPr>
                <w:rFonts w:hint="eastAsia" w:ascii="宋体" w:hAnsi="宋体" w:eastAsia="宋体" w:cs="宋体"/>
                <w:szCs w:val="21"/>
              </w:rPr>
              <w:t>理论</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lang w:val="zh-TW" w:eastAsia="zh-TW"/>
              </w:rPr>
              <w:t>军事</w:t>
            </w:r>
            <w:r>
              <w:rPr>
                <w:rFonts w:hint="eastAsia" w:ascii="宋体" w:hAnsi="宋体" w:eastAsia="宋体" w:cs="宋体"/>
                <w:szCs w:val="21"/>
              </w:rPr>
              <w:t>理论</w:t>
            </w:r>
            <w:r>
              <w:rPr>
                <w:rFonts w:hint="eastAsia" w:ascii="宋体" w:hAnsi="宋体" w:eastAsia="宋体" w:cs="宋体"/>
                <w:szCs w:val="21"/>
                <w:lang w:val="zh-TW" w:eastAsia="zh-TW"/>
              </w:rPr>
              <w:t>课程以国防教育为主线，通过军事教学，使大学生掌握基本军事理论与军事技能，达到增强国防观念和国家安全意识，强化爱国主义、集体主义观念，加强组织纪律性，促进大学生综合素质的提高，为中国人民解放军训练后备兵员和培养预备役军官打下坚实基础。</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lang w:val="zh-TW" w:eastAsia="zh-TW"/>
              </w:rPr>
              <w:t>军事课教学，让学生了解掌握军事基础知识和基本军事技能，增强国防观念、国家安全意识和忧患危机意识，弘扬爱国主义精神、传承红色基因、提高学生综合国防素质。要保证课堂出勤率，必须参加考试，没有成绩或成绩不合格的需要重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4</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劳动</w:t>
            </w:r>
          </w:p>
          <w:p>
            <w:pPr>
              <w:snapToGrid w:val="0"/>
              <w:jc w:val="center"/>
              <w:rPr>
                <w:rFonts w:ascii="宋体" w:hAnsi="宋体" w:eastAsia="宋体" w:cs="宋体"/>
                <w:szCs w:val="21"/>
              </w:rPr>
            </w:pPr>
            <w:r>
              <w:rPr>
                <w:rFonts w:hint="eastAsia" w:ascii="宋体" w:hAnsi="宋体" w:eastAsia="宋体" w:cs="宋体"/>
                <w:szCs w:val="21"/>
              </w:rPr>
              <w:t>教育</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依据马克思主义劳动观，将劳动分为生产劳动和非生产劳动，注重在学生个人生活自理中强化劳动自立意识，体验持家之道，这也是学生健康发展、适应社会生活的重要基础；后者具有较强的时代特点，注重利用知识、技能、工具、设备等为他人和社会提供服务，特别是在公益劳动、志愿服务中强化社会责任，培养良好的社会公德。</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引导学生从思想认识、情感态度、能力习惯三个方面面向学生提出了劳动教育目标，突出强调劳动教育的思想性.强调理解和形成马克思主义劳动观，牢固树立劳动最光荣、劳动最崇高、劳动最伟大、劳动最美丽的观念；体会劳动创造美好生活、劳动不分贵贱，热爱劳动，尊重普通劳动者，培养勤俭、奋斗、创新、奉献的劳动精神；具备满足生存发展需要的基本劳动能力，形成良好的劳动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5</w:t>
            </w:r>
          </w:p>
        </w:tc>
        <w:tc>
          <w:tcPr>
            <w:tcW w:w="1000" w:type="dxa"/>
            <w:vAlign w:val="center"/>
          </w:tcPr>
          <w:p>
            <w:pPr>
              <w:snapToGrid w:val="0"/>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思想</w:t>
            </w:r>
          </w:p>
          <w:p>
            <w:pPr>
              <w:snapToGrid w:val="0"/>
              <w:jc w:val="center"/>
              <w:rPr>
                <w:rFonts w:ascii="宋体" w:hAnsi="宋体" w:eastAsia="宋体" w:cs="宋体"/>
                <w:szCs w:val="21"/>
              </w:rPr>
            </w:pPr>
            <w:r>
              <w:rPr>
                <w:rFonts w:hint="eastAsia" w:ascii="宋体" w:hAnsi="宋体" w:eastAsia="宋体" w:cs="宋体"/>
                <w:color w:val="000000"/>
                <w:kern w:val="0"/>
                <w:szCs w:val="21"/>
                <w:lang w:bidi="ar"/>
              </w:rPr>
              <w:t>道德与法治</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提高大学生思想、政治、道德、法律素质，以适应大学生活、树立职业理想、规划精彩人生、提升道德品质、强化法治观念。培养德智体美全面发展的社会主义合格建设者和可靠接班人。</w:t>
            </w:r>
          </w:p>
        </w:tc>
        <w:tc>
          <w:tcPr>
            <w:tcW w:w="4028" w:type="dxa"/>
            <w:vAlign w:val="center"/>
          </w:tcPr>
          <w:p>
            <w:pPr>
              <w:snapToGrid w:val="0"/>
              <w:ind w:firstLine="420" w:firstLineChars="200"/>
              <w:jc w:val="left"/>
              <w:rPr>
                <w:rFonts w:ascii="宋体" w:hAnsi="宋体" w:eastAsia="宋体" w:cs="宋体"/>
                <w:szCs w:val="21"/>
                <w:lang w:val="zh-TW"/>
              </w:rPr>
            </w:pPr>
            <w:r>
              <w:rPr>
                <w:rFonts w:hint="eastAsia" w:ascii="宋体" w:hAnsi="宋体" w:eastAsia="宋体" w:cs="宋体"/>
                <w:szCs w:val="21"/>
              </w:rPr>
              <w:t>围绕职业岗位和社会的需要，结合学生情感、意志、能力形成过程，帮助大学生树立正确的人生观、价值观、道德观和法制观。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6</w:t>
            </w:r>
          </w:p>
        </w:tc>
        <w:tc>
          <w:tcPr>
            <w:tcW w:w="1000" w:type="dxa"/>
            <w:vAlign w:val="center"/>
          </w:tcPr>
          <w:p>
            <w:pPr>
              <w:snapToGrid w:val="0"/>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思想政治理论课实践教学</w:t>
            </w:r>
          </w:p>
        </w:tc>
        <w:tc>
          <w:tcPr>
            <w:tcW w:w="3834" w:type="dxa"/>
            <w:vAlign w:val="center"/>
          </w:tcPr>
          <w:p>
            <w:pPr>
              <w:snapToGrid w:val="0"/>
              <w:ind w:firstLine="420" w:firstLineChars="200"/>
              <w:jc w:val="left"/>
              <w:rPr>
                <w:rFonts w:ascii="宋体" w:hAnsi="宋体" w:eastAsia="宋体" w:cs="宋体"/>
                <w:szCs w:val="21"/>
              </w:rPr>
            </w:pPr>
            <w:r>
              <w:rPr>
                <w:rFonts w:hint="eastAsia" w:ascii="宋体" w:hAnsi="宋体" w:eastAsia="宋体" w:cs="宋体"/>
                <w:szCs w:val="21"/>
              </w:rPr>
              <w:t>立德树人，促进大学生健康成长和全面发展，引领风尚，提高大学生的思想政治素质，践行社会主义核心价值体系；承接地气，满足社会发展的需要和大学生自身的需要。</w:t>
            </w:r>
          </w:p>
        </w:tc>
        <w:tc>
          <w:tcPr>
            <w:tcW w:w="4028" w:type="dxa"/>
            <w:vAlign w:val="center"/>
          </w:tcPr>
          <w:p>
            <w:pPr>
              <w:snapToGrid w:val="0"/>
              <w:ind w:firstLine="420" w:firstLineChars="200"/>
              <w:jc w:val="left"/>
              <w:rPr>
                <w:rFonts w:ascii="宋体" w:hAnsi="宋体" w:eastAsia="宋体" w:cs="宋体"/>
                <w:szCs w:val="21"/>
              </w:rPr>
            </w:pPr>
            <w:r>
              <w:rPr>
                <w:rFonts w:hint="eastAsia" w:ascii="宋体" w:hAnsi="宋体" w:eastAsia="宋体" w:cs="宋体"/>
                <w:szCs w:val="21"/>
              </w:rPr>
              <w:t>帮助学生完成理论与实践结合及应用，历史与当代的结合与启示，纵向与横向实践分析等，注重学生的实践体验和感悟，在实践互动学习过程中增强实践的体验感和获得感，真正达到学生实践学习和实践育人的双重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7</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铸牢中华民族共同体意识</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引导学生树立正确的民族观、熟知中国政府处理民族问题的基本政策、了解我国民族的基本概况。学习国家通用语言文字的重要性树立马克思主义民族观、宗教观和祖国观。加强民族团结，构建和谐的社会主义民族关系，促进共同繁荣，维护祖国统一。</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学习中国的民族区域自治政策，促进各民族交往交流交融，理解国家通用语言文字是传承发展的财富和交往交流交融的纽带，增强对中华文化的认同，学习习近平总书记为内蒙古擘画的发展蓝图。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8</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毛泽东思想和中国特色社会主义理论体系概论</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学会运用马克思主义立场、观点、方法解决现实生活的基本问题。掌握科学地认识和分析复杂的社会现象的能力，运用建设中国特色社会主义理论和党的方针政策，对我国经济、政治和社会发展现状等社会现实问题，具备初步分析、判断能力。</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学习中国共产党把马克思主义基本原理与中国实际相结合的历史进程，充分反映马克思主义中国化的理论成果。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9</w:t>
            </w:r>
          </w:p>
          <w:p>
            <w:pPr>
              <w:snapToGrid w:val="0"/>
              <w:jc w:val="center"/>
              <w:rPr>
                <w:rFonts w:ascii="宋体" w:hAnsi="宋体" w:eastAsia="宋体" w:cs="宋体"/>
                <w:color w:val="404040"/>
                <w:szCs w:val="21"/>
                <w:shd w:val="clear" w:color="000000" w:fill="FFFFFF"/>
              </w:rPr>
            </w:pP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习近平新时代中国特色社会主义思想概论</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帮助当代青年学生科学把握中国特色社会主义的历史必然性，正确认识自身的时代责任和历史使命，增强青年大学生对中国特色社会主义“四个自信”，以时不我待的社会责任感和历史使命感，静心学习、刻苦钻研、提升本领，为实现“中国梦”凝聚青春力量的根本举措和紧迫要求。</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习近平新时代中国特色社会主义思想涵盖新时代坚持和发展中国特色社会主义的总目标、总任务、总体布局、战略布局和发展方向、发展方式、发展动力、战略步骤、外部条件、政治保证等内容，要求青年学生必将不断从中汲取科学智慧和理论力量，用以涵养正气、淬炼思想、升华境界、指导实践，自觉将个人理想追求融入到国家和民族的事业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10</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职业发展与就业指导</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帮助学生科学全面认知自我和社会就业环境；了解社会就业形势，树立正确的就业观，明确就业所需的知识、技能要求，有针对性地提高自身素质和职业需要的技能，以胜任未来的工作，为职业发展奠定良好的基础。</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就业形势、就业政策、求职技巧、就业信息等方面内容。模拟面试演练可作为学生考评之一。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11</w:t>
            </w:r>
          </w:p>
        </w:tc>
        <w:tc>
          <w:tcPr>
            <w:tcW w:w="1000" w:type="dxa"/>
            <w:vAlign w:val="center"/>
          </w:tcPr>
          <w:p>
            <w:pPr>
              <w:snapToGrid w:val="0"/>
              <w:jc w:val="center"/>
              <w:rPr>
                <w:rFonts w:ascii="宋体" w:hAnsi="宋体" w:eastAsia="宋体" w:cs="宋体"/>
                <w:szCs w:val="21"/>
              </w:rPr>
            </w:pPr>
          </w:p>
          <w:p>
            <w:pPr>
              <w:snapToGrid w:val="0"/>
              <w:jc w:val="center"/>
              <w:rPr>
                <w:rFonts w:ascii="宋体" w:hAnsi="宋体" w:eastAsia="宋体" w:cs="宋体"/>
                <w:szCs w:val="21"/>
              </w:rPr>
            </w:pPr>
            <w:r>
              <w:rPr>
                <w:rFonts w:hint="eastAsia" w:ascii="宋体" w:hAnsi="宋体" w:eastAsia="宋体" w:cs="宋体"/>
                <w:szCs w:val="21"/>
              </w:rPr>
              <w:t>高职</w:t>
            </w:r>
          </w:p>
          <w:p>
            <w:pPr>
              <w:snapToGrid w:val="0"/>
              <w:jc w:val="center"/>
              <w:rPr>
                <w:rFonts w:ascii="宋体" w:hAnsi="宋体" w:eastAsia="宋体" w:cs="宋体"/>
                <w:szCs w:val="21"/>
              </w:rPr>
            </w:pPr>
            <w:r>
              <w:rPr>
                <w:rFonts w:hint="eastAsia" w:ascii="宋体" w:hAnsi="宋体" w:eastAsia="宋体" w:cs="宋体"/>
                <w:szCs w:val="21"/>
              </w:rPr>
              <w:t>英语</w:t>
            </w:r>
          </w:p>
          <w:p>
            <w:pPr>
              <w:snapToGrid w:val="0"/>
              <w:rPr>
                <w:rFonts w:ascii="宋体" w:hAnsi="宋体" w:eastAsia="宋体" w:cs="宋体"/>
                <w:szCs w:val="21"/>
              </w:rPr>
            </w:pP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本课程主要任务是：通过课堂教学的各个环节，运用各种教学方法，使学生掌握一定的英语基础知识和听、说、读、写、译的基本技能，培养学生能够借助词典翻译和阅读有关英语业务资料的综合运用能力。</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高职英语的教学内容与学生的专业和生活实际紧密联系，主要围绕交通运输、职业生涯、日常生活、饮食、学习、数字时代、时尚与美、世界文化等方面，着重培养学生的听说能力，兼顾阅读理解、写作和语法等方面，培养学生对英语的综合运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12</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信息</w:t>
            </w:r>
          </w:p>
          <w:p>
            <w:pPr>
              <w:snapToGrid w:val="0"/>
              <w:jc w:val="center"/>
              <w:rPr>
                <w:rFonts w:ascii="宋体" w:hAnsi="宋体" w:eastAsia="宋体" w:cs="宋体"/>
                <w:szCs w:val="21"/>
              </w:rPr>
            </w:pPr>
            <w:r>
              <w:rPr>
                <w:rFonts w:hint="eastAsia" w:ascii="宋体" w:hAnsi="宋体" w:eastAsia="宋体" w:cs="宋体"/>
                <w:szCs w:val="21"/>
              </w:rPr>
              <w:t>技术</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本课程是一门计算机入门课程，是为非计算机专业类学生提供计算机一般应用所必需的基础知识、能力和素质的课程，内容丰富，与时俱进，实用强。</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本课程包括操作系统、文字处理软件、电子表格、演示文稿、人工智能、大数据、常用剪辑软件等现代办公常用信息技术。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13</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高职实用语文</w:t>
            </w:r>
          </w:p>
        </w:tc>
        <w:tc>
          <w:tcPr>
            <w:tcW w:w="3834" w:type="dxa"/>
            <w:vAlign w:val="center"/>
          </w:tcPr>
          <w:p>
            <w:pPr>
              <w:snapToGrid w:val="0"/>
              <w:ind w:firstLine="420" w:firstLineChars="200"/>
              <w:jc w:val="left"/>
              <w:rPr>
                <w:rFonts w:ascii="宋体" w:hAnsi="宋体" w:eastAsia="宋体" w:cs="宋体"/>
                <w:szCs w:val="21"/>
                <w:lang w:val="zh-TW"/>
              </w:rPr>
            </w:pPr>
            <w:r>
              <w:rPr>
                <w:rFonts w:hint="eastAsia" w:ascii="宋体" w:hAnsi="宋体" w:eastAsia="宋体" w:cs="宋体"/>
                <w:szCs w:val="21"/>
              </w:rPr>
              <w:t>普及文学常识及中国传统文化思想，提高人文素养。</w:t>
            </w:r>
          </w:p>
        </w:tc>
        <w:tc>
          <w:tcPr>
            <w:tcW w:w="4028" w:type="dxa"/>
            <w:vAlign w:val="center"/>
          </w:tcPr>
          <w:p>
            <w:pPr>
              <w:snapToGrid w:val="0"/>
              <w:ind w:firstLine="420" w:firstLineChars="200"/>
              <w:jc w:val="left"/>
              <w:rPr>
                <w:rFonts w:ascii="宋体" w:hAnsi="宋体" w:eastAsia="宋体" w:cs="宋体"/>
                <w:szCs w:val="21"/>
              </w:rPr>
            </w:pPr>
            <w:r>
              <w:rPr>
                <w:rFonts w:hint="eastAsia" w:ascii="宋体" w:hAnsi="宋体" w:eastAsia="宋体" w:cs="宋体"/>
                <w:szCs w:val="21"/>
              </w:rPr>
              <w:t>高职实用语文主要教学内容：主要作家、作品、经典篇章、文学史知识。</w:t>
            </w:r>
          </w:p>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要求：对文学史发展有比较清晰地概念，对重要作家作品有基本的了解，能够具备一定的文学知识储备和文化素养。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14</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体育与健康</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通过体育课程学习，培养学生体育兴趣，掌握科学的体育锻炼方法；全面发展体能素质；养成自觉参与锻炼的行为习惯，提高终身体育锻炼能力；形成健康的心理品质、良好的人格特征、积极的竞争意识以及团队合作态度。</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紧扣课程的主要目标，实现健身性、实效性、科学性、人文性、职业准备性的有机统一。以“健康第一”的指导思想作为确定课程内容的基本出发点，以身体练习作为体育课程的主要载体，体育理论知识为辅，具备一定的篮球、足球等基本技术和理论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szCs w:val="21"/>
                <w:shd w:val="clear" w:color="000000" w:fill="FFFFFF"/>
              </w:rPr>
            </w:pPr>
            <w:r>
              <w:rPr>
                <w:rFonts w:hint="eastAsia" w:ascii="宋体" w:hAnsi="宋体" w:eastAsia="宋体" w:cs="宋体"/>
                <w:szCs w:val="21"/>
                <w:shd w:val="clear" w:color="000000" w:fill="FFFFFF"/>
              </w:rPr>
              <w:t>15</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高职</w:t>
            </w:r>
          </w:p>
          <w:p>
            <w:pPr>
              <w:snapToGrid w:val="0"/>
              <w:jc w:val="center"/>
              <w:rPr>
                <w:rFonts w:ascii="宋体" w:hAnsi="宋体" w:eastAsia="宋体" w:cs="宋体"/>
                <w:szCs w:val="21"/>
              </w:rPr>
            </w:pPr>
            <w:r>
              <w:rPr>
                <w:rFonts w:hint="eastAsia" w:ascii="宋体" w:hAnsi="宋体" w:eastAsia="宋体" w:cs="宋体"/>
                <w:szCs w:val="21"/>
              </w:rPr>
              <w:t>数学</w:t>
            </w:r>
          </w:p>
        </w:tc>
        <w:tc>
          <w:tcPr>
            <w:tcW w:w="3834" w:type="dxa"/>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通过学习使学生掌握基本的数学思想方法和必要的应用知识，学会用数学的思维方式去观察、去解决学习、生活、工作中的实际问题，使学生具有一定的创新精神和提出问题分析问题解决问题的能力，在工作中实事求是、坚持真理。</w:t>
            </w:r>
          </w:p>
        </w:tc>
        <w:tc>
          <w:tcPr>
            <w:tcW w:w="4028" w:type="dxa"/>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主要围绕函数极限和连续、导数与微分、导数应用、不定积分与定积分、常微分方程等进行学习。要求学生能较系统地掌握必需的基础理论、基本知识和常用的运算方法，为学生后续的专业课的学习打好基础。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szCs w:val="21"/>
                <w:shd w:val="clear" w:color="000000" w:fill="FFFFFF"/>
              </w:rPr>
            </w:pPr>
            <w:r>
              <w:rPr>
                <w:rFonts w:hint="eastAsia" w:ascii="宋体" w:hAnsi="宋体" w:eastAsia="宋体" w:cs="宋体"/>
                <w:szCs w:val="21"/>
                <w:shd w:val="clear" w:color="000000" w:fill="FFFFFF"/>
              </w:rPr>
              <w:t>16</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心理健康教育</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提升学生心理保健的意识，培养学生自我认知，健全人格，增强学生调节情绪、应对挫折的能力。掌握与人沟通的技巧，形成健康的心理品质，提高心理健康水平。</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主要围绕适应能力、心理与心理健康、自我认识、网络与学习、人际交往、恋爱心理、情绪管理等内容开展专题教学活动。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szCs w:val="21"/>
                <w:shd w:val="clear" w:color="000000" w:fill="FFFFFF"/>
              </w:rPr>
            </w:pPr>
            <w:r>
              <w:rPr>
                <w:rFonts w:hint="eastAsia" w:ascii="宋体" w:hAnsi="宋体" w:eastAsia="宋体" w:cs="宋体"/>
                <w:szCs w:val="21"/>
                <w:shd w:val="clear" w:color="000000" w:fill="FFFFFF"/>
              </w:rPr>
              <w:t>17</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大学生安全</w:t>
            </w:r>
          </w:p>
          <w:p>
            <w:pPr>
              <w:snapToGrid w:val="0"/>
              <w:jc w:val="center"/>
              <w:rPr>
                <w:rFonts w:ascii="宋体" w:hAnsi="宋体" w:eastAsia="宋体" w:cs="宋体"/>
                <w:szCs w:val="21"/>
              </w:rPr>
            </w:pPr>
            <w:r>
              <w:rPr>
                <w:rFonts w:hint="eastAsia" w:ascii="宋体" w:hAnsi="宋体" w:eastAsia="宋体" w:cs="宋体"/>
                <w:szCs w:val="21"/>
              </w:rPr>
              <w:t>教育</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通过学习，使学生了解国家法律法规，学校安全规章和制度，掌握安全知识与防范技能，从而提高学生的安全防范意识和自我保护能力。</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主要围绕安全常识、人身安全、财产安全、网络安全、遵纪守法预防犯罪、交通安全、消防安全、自然灾害安全、国家安全等内容学习。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pPr>
              <w:snapToGrid w:val="0"/>
              <w:jc w:val="center"/>
              <w:rPr>
                <w:rFonts w:ascii="宋体" w:hAnsi="宋体" w:eastAsia="宋体" w:cs="宋体"/>
                <w:szCs w:val="21"/>
                <w:shd w:val="clear" w:color="000000" w:fill="FFFFFF"/>
              </w:rPr>
            </w:pPr>
            <w:r>
              <w:rPr>
                <w:rFonts w:hint="eastAsia" w:ascii="宋体" w:hAnsi="宋体" w:eastAsia="宋体" w:cs="宋体"/>
                <w:szCs w:val="21"/>
                <w:shd w:val="clear" w:color="000000" w:fill="FFFFFF"/>
              </w:rPr>
              <w:t>18</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创新与创业</w:t>
            </w:r>
          </w:p>
          <w:p>
            <w:pPr>
              <w:snapToGrid w:val="0"/>
              <w:jc w:val="center"/>
              <w:rPr>
                <w:rFonts w:ascii="宋体" w:hAnsi="宋体" w:eastAsia="宋体" w:cs="宋体"/>
                <w:szCs w:val="21"/>
              </w:rPr>
            </w:pPr>
            <w:r>
              <w:rPr>
                <w:rFonts w:hint="eastAsia" w:ascii="宋体" w:hAnsi="宋体" w:eastAsia="宋体" w:cs="宋体"/>
                <w:szCs w:val="21"/>
              </w:rPr>
              <w:t>教育</w:t>
            </w:r>
          </w:p>
        </w:tc>
        <w:tc>
          <w:tcPr>
            <w:tcW w:w="3834" w:type="dxa"/>
            <w:vAlign w:val="center"/>
          </w:tcPr>
          <w:p>
            <w:pPr>
              <w:snapToGrid w:val="0"/>
              <w:ind w:firstLine="420" w:firstLineChars="200"/>
              <w:jc w:val="left"/>
              <w:rPr>
                <w:rFonts w:ascii="宋体" w:hAnsi="宋体" w:eastAsia="宋体" w:cs="宋体"/>
                <w:szCs w:val="21"/>
              </w:rPr>
            </w:pPr>
            <w:r>
              <w:rPr>
                <w:rFonts w:hint="eastAsia" w:ascii="宋体" w:hAnsi="宋体" w:eastAsia="宋体" w:cs="宋体"/>
                <w:szCs w:val="21"/>
              </w:rPr>
              <w:t>能够进行创业机会识别和分析，树立科学的创新创业观，激发学生的创新创业意识，提高学生的社会责任感和创业精神，促进学生创业、就业全面发展。</w:t>
            </w:r>
          </w:p>
          <w:p>
            <w:pPr>
              <w:snapToGrid w:val="0"/>
              <w:ind w:firstLine="420" w:firstLineChars="200"/>
              <w:jc w:val="left"/>
              <w:rPr>
                <w:rFonts w:ascii="宋体" w:hAnsi="宋体" w:eastAsia="宋体" w:cs="宋体"/>
                <w:szCs w:val="21"/>
              </w:rPr>
            </w:pPr>
          </w:p>
          <w:p>
            <w:pPr>
              <w:snapToGrid w:val="0"/>
              <w:ind w:firstLine="420" w:firstLineChars="200"/>
              <w:jc w:val="left"/>
              <w:rPr>
                <w:rFonts w:ascii="宋体" w:hAnsi="宋体" w:eastAsia="宋体" w:cs="宋体"/>
                <w:szCs w:val="21"/>
                <w:lang w:val="zh-TW" w:eastAsia="zh-TW"/>
              </w:rPr>
            </w:pP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训练创新思维，打造创业团队，识别创业机会，整合创业资源，设计商业模式，创业计划与路演展示等。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pPr>
              <w:snapToGrid w:val="0"/>
              <w:jc w:val="center"/>
              <w:rPr>
                <w:rFonts w:ascii="宋体" w:hAnsi="宋体" w:eastAsia="宋体" w:cs="宋体"/>
                <w:szCs w:val="21"/>
                <w:shd w:val="clear" w:color="000000" w:fill="FFFFFF"/>
              </w:rPr>
            </w:pPr>
            <w:r>
              <w:rPr>
                <w:rFonts w:hint="eastAsia" w:ascii="宋体" w:hAnsi="宋体" w:eastAsia="宋体" w:cs="宋体"/>
                <w:szCs w:val="21"/>
                <w:shd w:val="clear" w:color="000000" w:fill="FFFFFF"/>
              </w:rPr>
              <w:t>19</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“四史”教育</w:t>
            </w:r>
          </w:p>
        </w:tc>
        <w:tc>
          <w:tcPr>
            <w:tcW w:w="3834" w:type="dxa"/>
            <w:vAlign w:val="center"/>
          </w:tcPr>
          <w:p>
            <w:pPr>
              <w:snapToGrid w:val="0"/>
              <w:ind w:firstLine="420" w:firstLineChars="200"/>
              <w:jc w:val="left"/>
              <w:rPr>
                <w:rFonts w:ascii="宋体" w:hAnsi="宋体" w:eastAsia="宋体" w:cs="宋体"/>
                <w:szCs w:val="21"/>
              </w:rPr>
            </w:pPr>
            <w:r>
              <w:rPr>
                <w:rFonts w:hint="eastAsia" w:ascii="宋体" w:hAnsi="宋体" w:eastAsia="宋体" w:cs="宋体"/>
                <w:szCs w:val="21"/>
              </w:rPr>
              <w:t>通过学习帮助学生认识近现代中国共产党的历史及新中国，改革开放和社会主义发展的历史进程及其内在的规律性，了解党史，国情，深刻领会历史和人民怎样选择了马克思主义，怎样选择了中国共产党。怎样选择了社会主义道路。</w:t>
            </w:r>
          </w:p>
          <w:p>
            <w:pPr>
              <w:snapToGrid w:val="0"/>
              <w:ind w:firstLine="420" w:firstLineChars="200"/>
              <w:jc w:val="left"/>
              <w:rPr>
                <w:rFonts w:ascii="宋体" w:hAnsi="宋体" w:eastAsia="宋体" w:cs="宋体"/>
                <w:szCs w:val="21"/>
              </w:rPr>
            </w:pPr>
          </w:p>
          <w:p>
            <w:pPr>
              <w:snapToGrid w:val="0"/>
              <w:jc w:val="left"/>
              <w:rPr>
                <w:rFonts w:ascii="宋体" w:hAnsi="宋体" w:eastAsia="宋体" w:cs="宋体"/>
                <w:szCs w:val="21"/>
              </w:rPr>
            </w:pPr>
          </w:p>
        </w:tc>
        <w:tc>
          <w:tcPr>
            <w:tcW w:w="4028" w:type="dxa"/>
          </w:tcPr>
          <w:p>
            <w:pPr>
              <w:snapToGrid w:val="0"/>
              <w:ind w:firstLine="420" w:firstLineChars="200"/>
              <w:jc w:val="left"/>
              <w:rPr>
                <w:rFonts w:ascii="宋体" w:hAnsi="宋体" w:eastAsia="宋体" w:cs="宋体"/>
                <w:szCs w:val="21"/>
              </w:rPr>
            </w:pPr>
            <w:r>
              <w:rPr>
                <w:rFonts w:hint="eastAsia" w:ascii="宋体" w:hAnsi="宋体" w:eastAsia="宋体" w:cs="宋体"/>
                <w:szCs w:val="21"/>
              </w:rPr>
              <w:t>学习有关历史进程，事件和人物的分析，帮助大学生提高运用历史唯物主义，方法论分析和评价历史问题，辨别历史是非和社会主义发展方向的能力，从而激发学生的“五个认同”，激发爱国主义情感与历史责任感，增强建设中国特色社会主义的自觉性。</w:t>
            </w:r>
          </w:p>
        </w:tc>
      </w:tr>
    </w:tbl>
    <w:p>
      <w:pPr>
        <w:pStyle w:val="80"/>
        <w:spacing w:line="520" w:lineRule="exact"/>
        <w:ind w:firstLine="560" w:firstLineChars="200"/>
        <w:outlineLvl w:val="9"/>
        <w:rPr>
          <w:rFonts w:ascii="楷体_GB2312" w:hAnsi="楷体_GB2312" w:eastAsia="楷体_GB2312" w:cs="楷体_GB2312"/>
          <w:b w:val="0"/>
          <w:bCs/>
          <w:color w:val="000000" w:themeColor="text1"/>
          <w:sz w:val="28"/>
          <w:szCs w:val="28"/>
          <w14:textFill>
            <w14:solidFill>
              <w14:schemeClr w14:val="tx1"/>
            </w14:solidFill>
          </w14:textFill>
        </w:rPr>
      </w:pPr>
    </w:p>
    <w:p>
      <w:pPr>
        <w:pStyle w:val="80"/>
        <w:outlineLvl w:val="9"/>
        <w:rPr>
          <w:rFonts w:ascii="楷体_GB2312" w:hAnsi="楷体_GB2312" w:eastAsia="楷体_GB2312" w:cs="楷体_GB2312"/>
          <w:b w:val="0"/>
          <w:bCs/>
          <w:color w:val="000000" w:themeColor="text1"/>
          <w:sz w:val="28"/>
          <w:szCs w:val="28"/>
          <w14:textFill>
            <w14:solidFill>
              <w14:schemeClr w14:val="tx1"/>
            </w14:solidFill>
          </w14:textFill>
        </w:rPr>
      </w:pPr>
      <w:bookmarkStart w:id="29" w:name="_Toc38201839"/>
      <w:bookmarkStart w:id="30" w:name="_Toc38299252"/>
      <w:bookmarkStart w:id="31" w:name="_Toc27140"/>
      <w:r>
        <w:rPr>
          <w:rFonts w:hint="eastAsia" w:ascii="楷体_GB2312" w:hAnsi="楷体_GB2312" w:eastAsia="楷体_GB2312" w:cs="楷体_GB2312"/>
          <w:b w:val="0"/>
          <w:bCs/>
          <w:color w:val="000000" w:themeColor="text1"/>
          <w:sz w:val="28"/>
          <w:szCs w:val="28"/>
          <w14:textFill>
            <w14:solidFill>
              <w14:schemeClr w14:val="tx1"/>
            </w14:solidFill>
          </w14:textFill>
        </w:rPr>
        <w:t>（二）专业（技能）课设置</w:t>
      </w:r>
      <w:bookmarkEnd w:id="29"/>
      <w:bookmarkEnd w:id="30"/>
      <w:bookmarkEnd w:id="31"/>
    </w:p>
    <w:tbl>
      <w:tblPr>
        <w:tblStyle w:val="27"/>
        <w:tblW w:w="9614"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820"/>
        <w:gridCol w:w="4171"/>
        <w:gridCol w:w="4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序号</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课程名称</w:t>
            </w:r>
          </w:p>
        </w:tc>
        <w:tc>
          <w:tcPr>
            <w:tcW w:w="41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课程目标</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主要教学内容与要求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02" w:type="dxa"/>
            <w:tcBorders>
              <w:left w:val="single" w:color="auto" w:sz="4" w:space="0"/>
              <w:bottom w:val="single" w:color="auto" w:sz="4" w:space="0"/>
              <w:right w:val="single" w:color="auto" w:sz="4" w:space="0"/>
            </w:tcBorders>
            <w:vAlign w:val="center"/>
          </w:tcPr>
          <w:p>
            <w:pPr>
              <w:snapToGrid w:val="0"/>
              <w:ind w:firstLine="210" w:firstLineChars="1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热工基础</w:t>
            </w:r>
          </w:p>
        </w:tc>
        <w:tc>
          <w:tcPr>
            <w:tcW w:w="4171" w:type="dxa"/>
            <w:tcBorders>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通过本课程的学习可以使同学们掌握遵循能量传递和转换技术的客观规律来合理组织和优化各种热力系统的工程方法；能有效地使用增强或削弱传热的措施来解决工程实际问题。</w:t>
            </w:r>
          </w:p>
          <w:p>
            <w:pPr>
              <w:snapToGrid w:val="0"/>
              <w:ind w:firstLine="420" w:firstLineChars="200"/>
              <w:jc w:val="left"/>
              <w:rPr>
                <w:rFonts w:ascii="宋体" w:hAnsi="宋体" w:eastAsia="宋体" w:cs="宋体"/>
                <w:color w:val="000000" w:themeColor="text1"/>
                <w:szCs w:val="21"/>
                <w14:textFill>
                  <w14:solidFill>
                    <w14:schemeClr w14:val="tx1"/>
                  </w14:solidFill>
                </w14:textFill>
              </w:rPr>
            </w:pPr>
          </w:p>
        </w:tc>
        <w:tc>
          <w:tcPr>
            <w:tcW w:w="4021" w:type="dxa"/>
            <w:tcBorders>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本课程包括工程热力学和传热学两部分内容。工程热力学包括热力学基本概念；热力学第一定律及其应用；理想气体及其热力过程；热力学第二定律；水蒸汽；气体和蒸汽的流动；蒸汽动力装置循环；另外一篇为传热学，共四章，包括：导热；对流换热；热辐射及辐射换热；传热过程与换热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电工电子技术与技能</w:t>
            </w:r>
          </w:p>
        </w:tc>
        <w:tc>
          <w:tcPr>
            <w:tcW w:w="417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使学生掌握电路的基本概念、基本定律和定理，了解电在生产生活中的实际应用；会使用常用电工工具与仪器仪表；能识别与检测常用电工元件；能处理电工技术实验与实训中的简单故障；掌握电工技能实训的安全操作规范。结合生产生活实际，了解电工技术的认知方法，有一定的自主学习能力；通过参加电工实践活动，培养运用电工技术知识和工程应用方法解决生产生活中相关实际电工问题的能力。</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内容包括电路基础、常用电器、三相异步电动机的基本控制、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热工仪表与测量</w:t>
            </w:r>
          </w:p>
        </w:tc>
        <w:tc>
          <w:tcPr>
            <w:tcW w:w="417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通过对《热工测量及仪表》的学习，使学生初步掌握各种热工参数的测量方法和常用仪表的作用原理，了解各种测量方法和仪表使用时的特性，从而能在实际工作中知道如何正确地选择和使用测量仪表。</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本课程是研究热能与动力工程中常用的温度、压力、流速、流量、液位、气体成分等物理量的测量技术的一门工程应用学科，为专业基础课。</w:t>
            </w:r>
          </w:p>
          <w:p>
            <w:pPr>
              <w:snapToGrid w:val="0"/>
              <w:ind w:firstLine="420" w:firstLineChars="200"/>
              <w:jc w:val="left"/>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2" w:type="dxa"/>
            <w:tcBorders>
              <w:top w:val="single" w:color="auto" w:sz="4" w:space="0"/>
              <w:left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宋体"/>
                <w:b/>
                <w:bCs w:val="0"/>
                <w:color w:val="000000" w:themeColor="text1"/>
                <w:szCs w:val="21"/>
                <w14:textFill>
                  <w14:solidFill>
                    <w14:schemeClr w14:val="tx1"/>
                  </w14:solidFill>
                </w14:textFill>
              </w:rPr>
            </w:pPr>
            <w:r>
              <w:rPr>
                <w:rFonts w:hint="eastAsia" w:ascii="宋体" w:hAnsi="宋体" w:eastAsia="宋体" w:cs="宋体"/>
                <w:b/>
                <w:bCs w:val="0"/>
                <w:color w:val="000000" w:themeColor="text1"/>
                <w:szCs w:val="21"/>
                <w14:textFill>
                  <w14:solidFill>
                    <w14:schemeClr w14:val="tx1"/>
                  </w14:solidFill>
                </w14:textFill>
              </w:rPr>
              <w:t>热工自动控制系统</w:t>
            </w:r>
          </w:p>
          <w:p>
            <w:pPr>
              <w:snapToGrid w:val="0"/>
              <w:jc w:val="left"/>
              <w:rPr>
                <w:rFonts w:ascii="宋体" w:hAnsi="宋体" w:eastAsia="宋体" w:cs="宋体"/>
                <w:color w:val="000000" w:themeColor="text1"/>
                <w:szCs w:val="21"/>
                <w14:textFill>
                  <w14:solidFill>
                    <w14:schemeClr w14:val="tx1"/>
                  </w14:solidFill>
                </w14:textFill>
              </w:rPr>
            </w:pPr>
          </w:p>
        </w:tc>
        <w:tc>
          <w:tcPr>
            <w:tcW w:w="4171" w:type="dxa"/>
            <w:tcBorders>
              <w:top w:val="single" w:color="auto" w:sz="4" w:space="0"/>
              <w:left w:val="single" w:color="auto" w:sz="4" w:space="0"/>
              <w:right w:val="single" w:color="auto" w:sz="4" w:space="0"/>
            </w:tcBorders>
            <w:vAlign w:val="center"/>
          </w:tcPr>
          <w:p>
            <w:pPr>
              <w:snapToGrid w:val="0"/>
              <w:ind w:firstLine="420" w:firstLineChars="200"/>
              <w:jc w:val="left"/>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使学生在掌握热工调节原理及电厂热工被控过程的基础上，进一步学习电厂热工控制系统的基本组成及原理，并掌握热工控制系统的设计、整定及调试方法，为今后从事热工控制系统的工程应用和科学研究打下良好的基础。</w:t>
            </w:r>
          </w:p>
          <w:p>
            <w:pPr>
              <w:snapToGrid w:val="0"/>
              <w:ind w:firstLine="420" w:firstLineChars="200"/>
              <w:jc w:val="left"/>
              <w:rPr>
                <w:rFonts w:ascii="宋体" w:hAnsi="宋体" w:eastAsia="宋体" w:cs="宋体"/>
                <w:color w:val="000000" w:themeColor="text1"/>
                <w:szCs w:val="21"/>
                <w14:textFill>
                  <w14:solidFill>
                    <w14:schemeClr w14:val="tx1"/>
                  </w14:solidFill>
                </w14:textFill>
              </w:rPr>
            </w:pPr>
          </w:p>
        </w:tc>
        <w:tc>
          <w:tcPr>
            <w:tcW w:w="4021" w:type="dxa"/>
            <w:tcBorders>
              <w:top w:val="single" w:color="auto" w:sz="4" w:space="0"/>
              <w:left w:val="single" w:color="auto" w:sz="4" w:space="0"/>
              <w:right w:val="single" w:color="auto" w:sz="4" w:space="0"/>
            </w:tcBorders>
            <w:vAlign w:val="center"/>
          </w:tcPr>
          <w:p>
            <w:pPr>
              <w:snapToGrid w:val="0"/>
              <w:ind w:firstLine="420" w:firstLineChars="200"/>
              <w:jc w:val="left"/>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本书内容共分两篇十章：第一篇（第一～第三章）为自动控制的基本知识，比较全面的介绍了自动控制的基本概念，单回路及复杂回路控制系统的组成、特点、工作原理及整定方法；第二篇（第4～第十章）为火电厂单元机组自动控制系统，介绍了单元机组协调控制系统、汽包锅炉自动控制系统、直流锅炉自动控制系统、汽轮机控制系统、炉膛安全监控系统、顺序控制系统，火电厂计算机控制系统。</w:t>
            </w:r>
          </w:p>
          <w:p>
            <w:pPr>
              <w:snapToGrid w:val="0"/>
              <w:ind w:firstLine="420" w:firstLineChars="200"/>
              <w:jc w:val="left"/>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5</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工程制图C</w:t>
            </w:r>
            <w:r>
              <w:rPr>
                <w:rFonts w:ascii="宋体" w:hAnsi="宋体" w:eastAsia="宋体" w:cs="宋体"/>
                <w:color w:val="000000" w:themeColor="text1"/>
                <w:szCs w:val="21"/>
                <w14:textFill>
                  <w14:solidFill>
                    <w14:schemeClr w14:val="tx1"/>
                  </w14:solidFill>
                </w14:textFill>
              </w:rPr>
              <w:t>AD</w:t>
            </w:r>
          </w:p>
        </w:tc>
        <w:tc>
          <w:tcPr>
            <w:tcW w:w="417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学生能够掌握CAD做图的基本方法和技巧，通过对机械三视图的图形绘制来学习三视图的知识，通过典型的电气图来学习电气制图的绘制方法。</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电气制图软件、电气图形的基本知识；掌握视图的投影关系和画法几何的相关知识；掌握Auto CAD软件的基本操作；掌握AutoCAD软件的图层使用及设置、块操作；掌握调频器电路图、继电器—接触器控制电路图、电气接线图、电气平面布置图的绘制与识图。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6</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b/>
                <w:bCs/>
                <w:color w:val="000000" w:themeColor="text1"/>
                <w:szCs w:val="21"/>
                <w:lang w:val="en-US" w:eastAsia="zh-CN"/>
                <w14:textFill>
                  <w14:solidFill>
                    <w14:schemeClr w14:val="tx1"/>
                  </w14:solidFill>
                </w14:textFill>
              </w:rPr>
              <w:t>电机技术</w:t>
            </w:r>
          </w:p>
        </w:tc>
        <w:tc>
          <w:tcPr>
            <w:tcW w:w="417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hint="default" w:ascii="宋体" w:hAnsi="宋体" w:eastAsia="宋体" w:cs="宋体"/>
                <w:bCs/>
                <w:color w:val="000000" w:themeColor="text1"/>
                <w:szCs w:val="21"/>
                <w:lang w:val="en-US" w:eastAsia="zh-CN"/>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通过本课程的学习，</w:t>
            </w:r>
            <w:r>
              <w:rPr>
                <w:rFonts w:hint="eastAsia" w:ascii="宋体" w:hAnsi="宋体" w:eastAsia="宋体" w:cs="宋体"/>
                <w:bCs/>
                <w:color w:val="000000" w:themeColor="text1"/>
                <w:szCs w:val="21"/>
                <w:lang w:val="en-US" w:eastAsia="zh-CN"/>
                <w14:textFill>
                  <w14:solidFill>
                    <w14:schemeClr w14:val="tx1"/>
                  </w14:solidFill>
                </w14:textFill>
              </w:rPr>
              <w:t>熟悉电机技术的基本概念和原理、电机的运行原理、构造和工作特点。具备电机的维护、安全运行和故障分析的能力，熟悉电机在现代工业领域的应用，了解电机的未来发展方向。</w:t>
            </w:r>
          </w:p>
          <w:p>
            <w:pPr>
              <w:snapToGrid w:val="0"/>
              <w:ind w:firstLine="420" w:firstLineChars="200"/>
              <w:jc w:val="left"/>
              <w:rPr>
                <w:rFonts w:ascii="宋体" w:hAnsi="宋体" w:eastAsia="宋体" w:cs="宋体"/>
                <w:color w:val="000000" w:themeColor="text1"/>
                <w:szCs w:val="21"/>
                <w14:textFill>
                  <w14:solidFill>
                    <w14:schemeClr w14:val="tx1"/>
                  </w14:solidFill>
                </w14:textFill>
              </w:rPr>
            </w:pP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hint="default" w:ascii="宋体" w:hAnsi="宋体" w:eastAsia="宋体" w:cs="宋体"/>
                <w:bCs/>
                <w:color w:val="000000" w:themeColor="text1"/>
                <w:szCs w:val="21"/>
                <w:lang w:val="en-US" w:eastAsia="zh-CN"/>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本课程主要包括</w:t>
            </w:r>
            <w:r>
              <w:rPr>
                <w:rFonts w:hint="eastAsia" w:ascii="宋体" w:hAnsi="宋体" w:eastAsia="宋体" w:cs="宋体"/>
                <w:bCs/>
                <w:color w:val="000000" w:themeColor="text1"/>
                <w:szCs w:val="21"/>
                <w:lang w:val="en-US" w:eastAsia="zh-CN"/>
                <w14:textFill>
                  <w14:solidFill>
                    <w14:schemeClr w14:val="tx1"/>
                  </w14:solidFill>
                </w14:textFill>
              </w:rPr>
              <w:t>电机基本概念和原理、直流电动机、交流电动机、特种电机、电机在现代工业领域的应用。</w:t>
            </w:r>
          </w:p>
          <w:p>
            <w:pPr>
              <w:snapToGrid w:val="0"/>
              <w:ind w:firstLine="420" w:firstLineChars="200"/>
              <w:jc w:val="left"/>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7</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default" w:ascii="宋体" w:hAnsi="宋体" w:eastAsia="宋体" w:cs="宋体"/>
                <w:b/>
                <w:bCs w:val="0"/>
                <w:color w:val="000000" w:themeColor="text1"/>
                <w:szCs w:val="21"/>
                <w:lang w:val="en-US" w:eastAsia="zh-CN"/>
                <w14:textFill>
                  <w14:solidFill>
                    <w14:schemeClr w14:val="tx1"/>
                  </w14:solidFill>
                </w14:textFill>
              </w:rPr>
            </w:pPr>
            <w:r>
              <w:rPr>
                <w:rFonts w:hint="eastAsia" w:ascii="宋体" w:hAnsi="宋体" w:eastAsia="宋体" w:cs="宋体"/>
                <w:b/>
                <w:bCs w:val="0"/>
                <w:color w:val="000000" w:themeColor="text1"/>
                <w:szCs w:val="21"/>
                <w:lang w:val="en-US" w:eastAsia="zh-CN"/>
                <w14:textFill>
                  <w14:solidFill>
                    <w14:schemeClr w14:val="tx1"/>
                  </w14:solidFill>
                </w14:textFill>
              </w:rPr>
              <w:t>发电厂变电站电气设备</w:t>
            </w:r>
          </w:p>
        </w:tc>
        <w:tc>
          <w:tcPr>
            <w:tcW w:w="4171" w:type="dxa"/>
            <w:tcBorders>
              <w:top w:val="single" w:color="auto" w:sz="4" w:space="0"/>
              <w:left w:val="single" w:color="auto" w:sz="4" w:space="0"/>
              <w:bottom w:val="single" w:color="auto" w:sz="4" w:space="0"/>
              <w:right w:val="single" w:color="auto" w:sz="4" w:space="0"/>
            </w:tcBorders>
          </w:tcPr>
          <w:p>
            <w:pPr>
              <w:snapToGrid w:val="0"/>
              <w:ind w:firstLine="420" w:firstLineChars="200"/>
              <w:jc w:val="left"/>
              <w:rPr>
                <w:rFonts w:hint="default" w:ascii="宋体" w:hAnsi="宋体" w:eastAsia="宋体" w:cs="宋体"/>
                <w:bCs/>
                <w:color w:val="000000" w:themeColor="text1"/>
                <w:szCs w:val="21"/>
                <w:lang w:val="en-US" w:eastAsia="zh-CN"/>
                <w14:textFill>
                  <w14:solidFill>
                    <w14:schemeClr w14:val="tx1"/>
                  </w14:solidFill>
                </w14:textFill>
              </w:rPr>
            </w:pPr>
            <w:bookmarkStart w:id="32" w:name="OLE_LINK2"/>
            <w:r>
              <w:rPr>
                <w:rFonts w:hint="eastAsia" w:ascii="宋体" w:hAnsi="宋体" w:eastAsia="宋体" w:cs="宋体"/>
                <w:bCs/>
                <w:color w:val="000000" w:themeColor="text1"/>
                <w:szCs w:val="21"/>
                <w14:textFill>
                  <w14:solidFill>
                    <w14:schemeClr w14:val="tx1"/>
                  </w14:solidFill>
                </w14:textFill>
              </w:rPr>
              <w:t>通过该门课程的学习</w:t>
            </w:r>
            <w:bookmarkEnd w:id="32"/>
            <w:r>
              <w:rPr>
                <w:rFonts w:hint="eastAsia" w:ascii="宋体" w:hAnsi="宋体" w:eastAsia="宋体" w:cs="宋体"/>
                <w:bCs/>
                <w:color w:val="000000" w:themeColor="text1"/>
                <w:szCs w:val="21"/>
                <w:lang w:eastAsia="zh-CN"/>
                <w14:textFill>
                  <w14:solidFill>
                    <w14:schemeClr w14:val="tx1"/>
                  </w14:solidFill>
                </w14:textFill>
              </w:rPr>
              <w:t>，</w:t>
            </w:r>
            <w:r>
              <w:rPr>
                <w:rFonts w:hint="eastAsia" w:ascii="宋体" w:hAnsi="宋体" w:eastAsia="宋体" w:cs="宋体"/>
                <w:bCs/>
                <w:color w:val="000000" w:themeColor="text1"/>
                <w:szCs w:val="21"/>
                <w:lang w:val="en-US" w:eastAsia="zh-CN"/>
                <w14:textFill>
                  <w14:solidFill>
                    <w14:schemeClr w14:val="tx1"/>
                  </w14:solidFill>
                </w14:textFill>
              </w:rPr>
              <w:t>使学生获得发电厂电气设备的基本理论、基本知识和基本技能；使学生掌握发变电系统的原理、结构和设计，为后续课程、毕业设计及毕业后在电气工程领域工作、学习打下坚实的基础。</w:t>
            </w:r>
          </w:p>
          <w:p>
            <w:pPr>
              <w:snapToGrid w:val="0"/>
              <w:ind w:firstLine="420" w:firstLineChars="200"/>
              <w:jc w:val="left"/>
              <w:rPr>
                <w:rFonts w:ascii="宋体" w:hAnsi="宋体" w:eastAsia="宋体" w:cs="宋体"/>
                <w:color w:val="000000" w:themeColor="text1"/>
                <w:szCs w:val="21"/>
                <w14:textFill>
                  <w14:solidFill>
                    <w14:schemeClr w14:val="tx1"/>
                  </w14:solidFill>
                </w14:textFill>
              </w:rPr>
            </w:pPr>
          </w:p>
        </w:tc>
        <w:tc>
          <w:tcPr>
            <w:tcW w:w="4021" w:type="dxa"/>
            <w:tcBorders>
              <w:top w:val="single" w:color="auto" w:sz="4" w:space="0"/>
              <w:left w:val="single" w:color="auto" w:sz="4" w:space="0"/>
              <w:bottom w:val="single" w:color="auto" w:sz="4" w:space="0"/>
              <w:right w:val="single" w:color="auto" w:sz="4" w:space="0"/>
            </w:tcBorders>
          </w:tcPr>
          <w:p>
            <w:pPr>
              <w:snapToGrid w:val="0"/>
              <w:ind w:firstLine="420" w:firstLineChars="200"/>
              <w:jc w:val="left"/>
              <w:rPr>
                <w:rFonts w:hint="default" w:ascii="宋体" w:hAnsi="宋体" w:eastAsia="宋体" w:cs="宋体"/>
                <w:bCs/>
                <w:color w:val="000000" w:themeColor="text1"/>
                <w:szCs w:val="21"/>
                <w:lang w:val="en-US" w:eastAsia="zh-CN"/>
                <w14:textFill>
                  <w14:solidFill>
                    <w14:schemeClr w14:val="tx1"/>
                  </w14:solidFill>
                </w14:textFill>
              </w:rPr>
            </w:pPr>
            <w:r>
              <w:rPr>
                <w:rFonts w:hint="eastAsia" w:ascii="宋体" w:hAnsi="宋体" w:eastAsia="宋体" w:cs="宋体"/>
                <w:bCs/>
                <w:color w:val="000000" w:themeColor="text1"/>
                <w:szCs w:val="21"/>
                <w:lang w:val="en-US" w:eastAsia="zh-CN"/>
                <w14:textFill>
                  <w14:solidFill>
                    <w14:schemeClr w14:val="tx1"/>
                  </w14:solidFill>
                </w14:textFill>
              </w:rPr>
              <w:t>本课程内容包括绪论、高压开关电器、电气主接线、</w:t>
            </w:r>
            <w:r>
              <w:rPr>
                <w:rFonts w:hint="eastAsia" w:ascii="宋体" w:hAnsi="宋体" w:eastAsia="宋体" w:cs="宋体"/>
                <w:bCs/>
                <w:color w:val="000000" w:themeColor="text1"/>
                <w:szCs w:val="21"/>
                <w14:textFill>
                  <w14:solidFill>
                    <w14:schemeClr w14:val="tx1"/>
                  </w14:solidFill>
                </w14:textFill>
              </w:rPr>
              <w:t> </w:t>
            </w:r>
            <w:r>
              <w:rPr>
                <w:rFonts w:hint="eastAsia" w:ascii="宋体" w:hAnsi="宋体" w:eastAsia="宋体" w:cs="宋体"/>
                <w:bCs/>
                <w:color w:val="000000" w:themeColor="text1"/>
                <w:szCs w:val="21"/>
                <w:lang w:val="en-US" w:eastAsia="zh-CN"/>
                <w14:textFill>
                  <w14:solidFill>
                    <w14:schemeClr w14:val="tx1"/>
                  </w14:solidFill>
                </w14:textFill>
              </w:rPr>
              <w:t>发电厂自用电、配电装置。</w:t>
            </w:r>
          </w:p>
          <w:p>
            <w:pPr>
              <w:snapToGrid w:val="0"/>
              <w:ind w:firstLine="420" w:firstLineChars="200"/>
              <w:jc w:val="left"/>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8</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eastAsia="宋体" w:cs="宋体"/>
                <w:b/>
                <w:bCs w:val="0"/>
                <w:color w:val="000000" w:themeColor="text1"/>
                <w:szCs w:val="21"/>
                <w:lang w:eastAsia="zh-CN"/>
                <w14:textFill>
                  <w14:solidFill>
                    <w14:schemeClr w14:val="tx1"/>
                  </w14:solidFill>
                </w14:textFill>
              </w:rPr>
            </w:pPr>
            <w:bookmarkStart w:id="33" w:name="OLE_LINK1"/>
            <w:r>
              <w:rPr>
                <w:rFonts w:hint="eastAsia" w:ascii="宋体" w:hAnsi="宋体" w:eastAsia="宋体" w:cs="宋体"/>
                <w:b/>
                <w:bCs w:val="0"/>
                <w:color w:val="000000" w:themeColor="text1"/>
                <w:szCs w:val="21"/>
                <w:lang w:val="en-US" w:eastAsia="zh-CN"/>
                <w14:textFill>
                  <w14:solidFill>
                    <w14:schemeClr w14:val="tx1"/>
                  </w14:solidFill>
                </w14:textFill>
              </w:rPr>
              <w:t>高电压技术</w:t>
            </w:r>
            <w:bookmarkEnd w:id="33"/>
          </w:p>
        </w:tc>
        <w:tc>
          <w:tcPr>
            <w:tcW w:w="417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通过该门课程的学习</w:t>
            </w:r>
            <w:r>
              <w:rPr>
                <w:rFonts w:hint="eastAsia" w:ascii="宋体" w:hAnsi="宋体" w:eastAsia="宋体" w:cs="宋体"/>
                <w:bCs/>
                <w:color w:val="000000" w:themeColor="text1"/>
                <w:szCs w:val="21"/>
                <w:lang w:eastAsia="zh-CN"/>
                <w14:textFill>
                  <w14:solidFill>
                    <w14:schemeClr w14:val="tx1"/>
                  </w14:solidFill>
                </w14:textFill>
              </w:rPr>
              <w:t>，</w:t>
            </w:r>
            <w:r>
              <w:rPr>
                <w:rFonts w:hint="eastAsia" w:ascii="宋体" w:hAnsi="宋体" w:eastAsia="宋体" w:cs="宋体"/>
                <w:bCs/>
                <w:color w:val="000000" w:themeColor="text1"/>
                <w:szCs w:val="21"/>
                <w:lang w:val="en-US" w:eastAsia="zh-CN"/>
                <w14:textFill>
                  <w14:solidFill>
                    <w14:schemeClr w14:val="tx1"/>
                  </w14:solidFill>
                </w14:textFill>
              </w:rPr>
              <w:t>使学生了解和掌握电气设备在高电压作用下绝缘电气性能的基本知识和高电压试验的基本技术；了解和掌握过电压的基本理论和过电压的保护方法，为今后从事高电压工程领域的研究和技术工作打下必要的专业基础。</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本课程的内容包括：气体放电的基本物理过程、气体介质的电器强度、液体和固体介质的电气特性、电气设备绝缘实验、电气系统过电压与绝缘配合、新输电系统所推经的高电压技术。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9</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eastAsia="宋体" w:cs="宋体"/>
                <w:b/>
                <w:bCs w:val="0"/>
                <w:color w:val="000000" w:themeColor="text1"/>
                <w:szCs w:val="21"/>
                <w:lang w:eastAsia="zh-CN"/>
                <w14:textFill>
                  <w14:solidFill>
                    <w14:schemeClr w14:val="tx1"/>
                  </w14:solidFill>
                </w14:textFill>
              </w:rPr>
            </w:pPr>
            <w:r>
              <w:rPr>
                <w:rFonts w:hint="eastAsia" w:ascii="宋体" w:hAnsi="宋体" w:eastAsia="宋体" w:cs="宋体"/>
                <w:b/>
                <w:bCs w:val="0"/>
                <w:color w:val="000000" w:themeColor="text1"/>
                <w:szCs w:val="21"/>
                <w:lang w:val="en-US" w:eastAsia="zh-CN"/>
                <w14:textFill>
                  <w14:solidFill>
                    <w14:schemeClr w14:val="tx1"/>
                  </w14:solidFill>
                </w14:textFill>
              </w:rPr>
              <w:t>继电保护与自动装置</w:t>
            </w:r>
          </w:p>
          <w:p>
            <w:pPr>
              <w:snapToGrid w:val="0"/>
              <w:jc w:val="left"/>
              <w:rPr>
                <w:rFonts w:ascii="宋体" w:hAnsi="宋体" w:eastAsia="宋体" w:cs="宋体"/>
                <w:b/>
                <w:bCs w:val="0"/>
                <w:color w:val="000000" w:themeColor="text1"/>
                <w:szCs w:val="21"/>
                <w14:textFill>
                  <w14:solidFill>
                    <w14:schemeClr w14:val="tx1"/>
                  </w14:solidFill>
                </w14:textFill>
              </w:rPr>
            </w:pPr>
          </w:p>
        </w:tc>
        <w:tc>
          <w:tcPr>
            <w:tcW w:w="4171" w:type="dxa"/>
            <w:tcBorders>
              <w:top w:val="single" w:color="auto" w:sz="4" w:space="0"/>
              <w:left w:val="single" w:color="auto" w:sz="4" w:space="0"/>
              <w:bottom w:val="single" w:color="auto" w:sz="4" w:space="0"/>
              <w:right w:val="single" w:color="auto" w:sz="4" w:space="0"/>
            </w:tcBorders>
          </w:tcPr>
          <w:p>
            <w:pPr>
              <w:snapToGrid w:val="0"/>
              <w:ind w:firstLine="420" w:firstLineChars="200"/>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通过本课程的学习，使学生明白电力系统继电保护与自动装置的作用、任务与大体要求；能对设备进行继电保护和自动装置的配置，会识读继电保护与自动装置的原理图和展开图、逻辑狂徒；会分析继电保护与自动装置的动作情形，并能按照继电保护的动作情形，判断故障的性质和范围。</w:t>
            </w:r>
          </w:p>
        </w:tc>
        <w:tc>
          <w:tcPr>
            <w:tcW w:w="4021" w:type="dxa"/>
            <w:tcBorders>
              <w:top w:val="single" w:color="auto" w:sz="4" w:space="0"/>
              <w:left w:val="single" w:color="auto" w:sz="4" w:space="0"/>
              <w:bottom w:val="single" w:color="auto" w:sz="4" w:space="0"/>
              <w:right w:val="single" w:color="auto" w:sz="4" w:space="0"/>
            </w:tcBorders>
          </w:tcPr>
          <w:p>
            <w:pPr>
              <w:snapToGrid w:val="0"/>
              <w:ind w:firstLine="420" w:firstLineChars="200"/>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本课程全面介绍发电厂和电力系统二次设备保护、检测、测量的课程，使学生掌握输配电线路和主要电器元件的继电保护及利用自动装置的大体工作原理；熟悉常用的继电器的大体实验方式；熟悉继电保护与自动装置的组成原理、特性、功能、配置和整定计算原理及应用，学会阅读继电保护与自动装置的原理图、展开图、逻辑框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10</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电力拖动</w:t>
            </w:r>
          </w:p>
        </w:tc>
        <w:tc>
          <w:tcPr>
            <w:tcW w:w="417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本课程集专业理论与技能训练于一体，使学生掌握与电力拖动有关的专业理论知识与操作技能，培养学生理论联系实际和分析解决一般技术问题的能力，达到国家规定的中级维修技术等级标准的要求</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本课程内容包括直流电机、直流电动机的电力拖动、变压器、三相感应电动机、三相感应电动机的电力拖动、单相感应电动机和三相同步电动机、控制电机和电力拖动系统电动机的选择。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02" w:type="dxa"/>
            <w:tcBorders>
              <w:top w:val="single" w:color="auto" w:sz="4" w:space="0"/>
              <w:left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11</w:t>
            </w:r>
          </w:p>
        </w:tc>
        <w:tc>
          <w:tcPr>
            <w:tcW w:w="820" w:type="dxa"/>
            <w:tcBorders>
              <w:top w:val="single" w:color="auto" w:sz="4" w:space="0"/>
              <w:left w:val="single" w:color="auto" w:sz="4" w:space="0"/>
              <w:right w:val="single" w:color="auto" w:sz="4" w:space="0"/>
            </w:tcBorders>
            <w:vAlign w:val="center"/>
          </w:tcPr>
          <w:p>
            <w:pPr>
              <w:snapToGrid w:val="0"/>
              <w:jc w:val="left"/>
              <w:rPr>
                <w:rFonts w:ascii="宋体" w:hAnsi="宋体" w:eastAsia="宋体" w:cs="宋体"/>
                <w:szCs w:val="21"/>
              </w:rPr>
            </w:pPr>
            <w:r>
              <w:rPr>
                <w:rFonts w:hint="eastAsia" w:ascii="宋体" w:hAnsi="宋体" w:eastAsia="宋体" w:cs="宋体"/>
                <w:szCs w:val="21"/>
              </w:rPr>
              <w:t>发电厂环保技术</w:t>
            </w:r>
          </w:p>
        </w:tc>
        <w:tc>
          <w:tcPr>
            <w:tcW w:w="4171" w:type="dxa"/>
            <w:tcBorders>
              <w:top w:val="single" w:color="auto" w:sz="4" w:space="0"/>
              <w:left w:val="single" w:color="auto" w:sz="4" w:space="0"/>
              <w:right w:val="single" w:color="auto" w:sz="4" w:space="0"/>
            </w:tcBorders>
            <w:vAlign w:val="center"/>
          </w:tcPr>
          <w:p>
            <w:pPr>
              <w:snapToGrid w:val="0"/>
              <w:ind w:firstLine="420" w:firstLineChars="200"/>
              <w:jc w:val="left"/>
              <w:rPr>
                <w:rFonts w:ascii="宋体" w:hAnsi="宋体" w:eastAsia="宋体" w:cs="宋体"/>
                <w:szCs w:val="21"/>
              </w:rPr>
            </w:pPr>
            <w:r>
              <w:rPr>
                <w:rFonts w:hint="eastAsia" w:ascii="宋体" w:hAnsi="宋体" w:eastAsia="宋体" w:cs="宋体"/>
                <w:szCs w:val="21"/>
              </w:rPr>
              <w:t>学习并掌握关于《发电厂环保技术》课程的基本知识和应用实例，启迪思维模式，联系实际应用，建立科学的、辨证的思维方法，掌握解决有关环境保护方面问题的分析方法，给予学生有益的启发，拓展学生的眼界。</w:t>
            </w:r>
          </w:p>
        </w:tc>
        <w:tc>
          <w:tcPr>
            <w:tcW w:w="4021" w:type="dxa"/>
            <w:tcBorders>
              <w:top w:val="single" w:color="auto" w:sz="4" w:space="0"/>
              <w:left w:val="single" w:color="auto" w:sz="4" w:space="0"/>
              <w:right w:val="single" w:color="auto" w:sz="4" w:space="0"/>
            </w:tcBorders>
            <w:vAlign w:val="center"/>
          </w:tcPr>
          <w:p>
            <w:pPr>
              <w:snapToGrid w:val="0"/>
              <w:jc w:val="left"/>
              <w:rPr>
                <w:rFonts w:ascii="宋体" w:hAnsi="宋体" w:eastAsia="宋体" w:cs="宋体"/>
                <w:szCs w:val="21"/>
              </w:rPr>
            </w:pPr>
            <w:r>
              <w:rPr>
                <w:rFonts w:hint="eastAsia" w:ascii="宋体" w:hAnsi="宋体" w:eastAsia="宋体" w:cs="宋体"/>
                <w:szCs w:val="21"/>
              </w:rPr>
              <w:t>本课程介绍了火力发电厂电力生产过程，燃煤电厂污染物与排放控制、除尘技术，烟气脱硫脱硝技术，废水处理及回用技术，固体废弃物处置，工频电场和磁场的影响与防护，电厂环境噪声，燃煤电厂污染物排放监测等方面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12</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宋体"/>
                <w:b/>
                <w:bCs w:val="0"/>
                <w:color w:val="000000" w:themeColor="text1"/>
                <w:szCs w:val="21"/>
                <w14:textFill>
                  <w14:solidFill>
                    <w14:schemeClr w14:val="tx1"/>
                  </w14:solidFill>
                </w14:textFill>
              </w:rPr>
            </w:pPr>
            <w:r>
              <w:rPr>
                <w:rFonts w:hint="eastAsia" w:ascii="宋体" w:hAnsi="宋体" w:eastAsia="宋体" w:cs="宋体"/>
                <w:b/>
                <w:bCs w:val="0"/>
                <w:color w:val="000000" w:themeColor="text1"/>
                <w:szCs w:val="21"/>
                <w14:textFill>
                  <w14:solidFill>
                    <w14:schemeClr w14:val="tx1"/>
                  </w14:solidFill>
                </w14:textFill>
              </w:rPr>
              <w:t>热力发电厂</w:t>
            </w:r>
          </w:p>
          <w:p>
            <w:pPr>
              <w:snapToGrid w:val="0"/>
              <w:jc w:val="left"/>
              <w:rPr>
                <w:rFonts w:ascii="宋体" w:hAnsi="宋体" w:eastAsia="宋体" w:cs="宋体"/>
                <w:b/>
                <w:bCs w:val="0"/>
                <w:color w:val="000000" w:themeColor="text1"/>
                <w:szCs w:val="21"/>
                <w14:textFill>
                  <w14:solidFill>
                    <w14:schemeClr w14:val="tx1"/>
                  </w14:solidFill>
                </w14:textFill>
              </w:rPr>
            </w:pPr>
          </w:p>
        </w:tc>
        <w:tc>
          <w:tcPr>
            <w:tcW w:w="417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本书主要以大型机组为例，紧密联系现场实际，以培养学生的职业能力为目的。通过本课程的学习，使学生了解并掌握关于热力发电厂的主要内容，具有热力系统分析计算能力，具有综合分析和解决发电厂工程技术问题和运行管理问题的能力，能够针对某热力发电厂的主要生产系统进行分析，并且提出改进意见。</w:t>
            </w:r>
          </w:p>
          <w:p>
            <w:pPr>
              <w:snapToGrid w:val="0"/>
              <w:ind w:firstLine="420" w:firstLineChars="200"/>
              <w:jc w:val="left"/>
              <w:rPr>
                <w:rFonts w:ascii="宋体" w:hAnsi="宋体" w:eastAsia="宋体" w:cs="宋体"/>
                <w:color w:val="000000" w:themeColor="text1"/>
                <w:szCs w:val="21"/>
                <w14:textFill>
                  <w14:solidFill>
                    <w14:schemeClr w14:val="tx1"/>
                  </w14:solidFill>
                </w14:textFill>
              </w:rPr>
            </w:pP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本书系统的阐述了热力发电厂热经济性的评价方法、热力发电厂的蒸汽参数及其循环、给水回热加热器、给水除氧系统、发电厂的汽水辅助系统，热电厂的经济性及供热、发电厂的原则性热力系统、发电厂全面性热力系统、发电厂的汽水管道，发电厂热力设备的经济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13</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宋体"/>
                <w:b/>
                <w:bCs w:val="0"/>
                <w:color w:val="000000" w:themeColor="text1"/>
                <w:szCs w:val="21"/>
                <w14:textFill>
                  <w14:solidFill>
                    <w14:schemeClr w14:val="tx1"/>
                  </w14:solidFill>
                </w14:textFill>
              </w:rPr>
            </w:pPr>
            <w:r>
              <w:rPr>
                <w:rFonts w:hint="eastAsia" w:ascii="宋体" w:hAnsi="宋体" w:eastAsia="宋体" w:cs="宋体"/>
                <w:b/>
                <w:bCs w:val="0"/>
                <w:color w:val="000000" w:themeColor="text1"/>
                <w:szCs w:val="21"/>
                <w14:textFill>
                  <w14:solidFill>
                    <w14:schemeClr w14:val="tx1"/>
                  </w14:solidFill>
                </w14:textFill>
              </w:rPr>
              <w:t>发电厂电气设备及运行</w:t>
            </w:r>
          </w:p>
          <w:p>
            <w:pPr>
              <w:snapToGrid w:val="0"/>
              <w:jc w:val="left"/>
              <w:rPr>
                <w:rFonts w:ascii="宋体" w:hAnsi="宋体" w:eastAsia="宋体" w:cs="宋体"/>
                <w:b/>
                <w:bCs w:val="0"/>
                <w:color w:val="000000" w:themeColor="text1"/>
                <w:szCs w:val="21"/>
                <w14:textFill>
                  <w14:solidFill>
                    <w14:schemeClr w14:val="tx1"/>
                  </w14:solidFill>
                </w14:textFill>
              </w:rPr>
            </w:pPr>
          </w:p>
        </w:tc>
        <w:tc>
          <w:tcPr>
            <w:tcW w:w="417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使</w:t>
            </w:r>
            <w:r>
              <w:rPr>
                <w:rFonts w:hint="eastAsia" w:ascii="宋体" w:hAnsi="宋体" w:eastAsia="宋体" w:cs="宋体"/>
                <w:bCs/>
                <w:color w:val="000000" w:themeColor="text1"/>
                <w:szCs w:val="21"/>
                <w14:textFill>
                  <w14:solidFill>
                    <w14:schemeClr w14:val="tx1"/>
                  </w14:solidFill>
                </w14:textFill>
              </w:rPr>
              <w:t>教学目的：本课程系统的阐述了电力系统的组成、特点及发电厂常用电气设备功能和相关技术参数知识及电气设备的运行和维护。重点介绍了发电厂常用电气设备结构、特点、常用参数及设备的运行、维护。通过本课程的学习，使学生掌握电力系统基本组成、特点；发电厂常用电气设备如高、低压断路器、隔离开关、变压器、高压电动机、发电机等设备操作运行、维护和故障处理及其继电保护，所需的基本理论和基本知识、实际运行等技术。</w:t>
            </w:r>
          </w:p>
          <w:p>
            <w:pPr>
              <w:snapToGrid w:val="0"/>
              <w:ind w:firstLine="420" w:firstLineChars="200"/>
              <w:jc w:val="left"/>
              <w:rPr>
                <w:rFonts w:ascii="宋体" w:hAnsi="宋体" w:eastAsia="宋体" w:cs="宋体"/>
                <w:color w:val="000000" w:themeColor="text1"/>
                <w:szCs w:val="21"/>
                <w14:textFill>
                  <w14:solidFill>
                    <w14:schemeClr w14:val="tx1"/>
                  </w14:solidFill>
                </w14:textFill>
              </w:rPr>
            </w:pP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全书分为四篇。前两篇主要介绍大型火力发电厂中的发电机、变压器、电动机、高压开关电器、互感器、封闭母线、电气主接线、厂用电接线、直流系统、UPS装置及事故保安电源等电气设备及接线的结构特点、基本形式及基本的运行操作，最后介绍防雷保护的基本知识。第三篇选择性地介绍电力系统有、无功的平衡及相应的调整，系统的静、动态稳定及振荡；对短路的概念及对称分量法也进行了简单的介绍。第四篇主要介绍继电保护的基础知识，大机组继电保护配置的基本原理，厂用电保护及自动装置的种类、作用和基本工作原理。</w:t>
            </w:r>
          </w:p>
          <w:p>
            <w:pPr>
              <w:snapToGrid w:val="0"/>
              <w:ind w:firstLine="420" w:firstLineChars="200"/>
              <w:jc w:val="left"/>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14</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
                <w:bCs w:val="0"/>
                <w:color w:val="000000" w:themeColor="text1"/>
                <w:szCs w:val="21"/>
                <w14:textFill>
                  <w14:solidFill>
                    <w14:schemeClr w14:val="tx1"/>
                  </w14:solidFill>
                </w14:textFill>
              </w:rPr>
              <w:t>单元机组运行</w:t>
            </w:r>
          </w:p>
          <w:p>
            <w:pPr>
              <w:snapToGrid w:val="0"/>
              <w:jc w:val="left"/>
              <w:rPr>
                <w:rFonts w:ascii="宋体" w:hAnsi="宋体" w:eastAsia="宋体" w:cs="宋体"/>
                <w:color w:val="000000" w:themeColor="text1"/>
                <w:szCs w:val="21"/>
                <w14:textFill>
                  <w14:solidFill>
                    <w14:schemeClr w14:val="tx1"/>
                  </w14:solidFill>
                </w14:textFill>
              </w:rPr>
            </w:pPr>
          </w:p>
        </w:tc>
        <w:tc>
          <w:tcPr>
            <w:tcW w:w="4171"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通过本课程的学习，使学生能熟悉、掌握大型单元机组的启停、运行调整、自动控制和事故处理等方面的理论知识和实际操作经验；加深对锅炉、汽轮机、热力发电厂和热工自动化等课程的理解并进一步消化吸收；为参加电厂设计、安装、调试、运行和检修打下一定的基础，以缩短理论学习和现场实际工作之间的差距，为今后的工作打下扎实的基础。</w:t>
            </w:r>
          </w:p>
          <w:p>
            <w:pPr>
              <w:snapToGrid w:val="0"/>
              <w:jc w:val="left"/>
              <w:rPr>
                <w:rFonts w:ascii="宋体" w:hAnsi="宋体" w:eastAsia="宋体" w:cs="宋体"/>
                <w:color w:val="000000" w:themeColor="text1"/>
                <w:szCs w:val="21"/>
                <w14:textFill>
                  <w14:solidFill>
                    <w14:schemeClr w14:val="tx1"/>
                  </w14:solidFill>
                </w14:textFill>
              </w:rPr>
            </w:pP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了</w:t>
            </w:r>
            <w:r>
              <w:rPr>
                <w:rFonts w:hint="eastAsia" w:ascii="宋体" w:hAnsi="宋体" w:eastAsia="宋体" w:cs="宋体"/>
                <w:bCs/>
                <w:color w:val="000000" w:themeColor="text1"/>
                <w:szCs w:val="21"/>
                <w14:textFill>
                  <w14:solidFill>
                    <w14:schemeClr w14:val="tx1"/>
                  </w14:solidFill>
                </w14:textFill>
              </w:rPr>
              <w:t>本课程结合国内300MW亚临界压力机组，600MW超临界压力机组的运行实际，向学生阐述大型火力发电机组运行的基本理论及实验，分析单元机组的启动和停机、单元机组的运行调节、单元机组的负荷控制、辅助系统顺序控制与维护、单元机组事故分析等。</w:t>
            </w:r>
          </w:p>
        </w:tc>
      </w:tr>
    </w:tbl>
    <w:p>
      <w:pPr>
        <w:rPr>
          <w:rFonts w:ascii="黑体" w:hAnsi="黑体" w:eastAsia="黑体" w:cs="黑体"/>
          <w:bCs/>
          <w:color w:val="000000" w:themeColor="text1"/>
          <w:sz w:val="30"/>
          <w:szCs w:val="30"/>
          <w14:textFill>
            <w14:solidFill>
              <w14:schemeClr w14:val="tx1"/>
            </w14:solidFill>
          </w14:textFill>
        </w:rPr>
      </w:pPr>
      <w:bookmarkStart w:id="34" w:name="_Toc38201840"/>
      <w:bookmarkStart w:id="35" w:name="_Toc38299253"/>
      <w:r>
        <w:rPr>
          <w:rFonts w:hint="eastAsia" w:ascii="黑体" w:hAnsi="黑体" w:eastAsia="黑体" w:cs="黑体"/>
          <w:bCs/>
          <w:color w:val="000000" w:themeColor="text1"/>
          <w:sz w:val="30"/>
          <w:szCs w:val="30"/>
          <w14:textFill>
            <w14:solidFill>
              <w14:schemeClr w14:val="tx1"/>
            </w14:solidFill>
          </w14:textFill>
        </w:rPr>
        <w:br w:type="page"/>
      </w:r>
    </w:p>
    <w:p>
      <w:pPr>
        <w:pStyle w:val="35"/>
        <w:spacing w:line="560" w:lineRule="exact"/>
        <w:ind w:left="319" w:leftChars="152" w:firstLine="300" w:firstLineChars="100"/>
        <w:rPr>
          <w:rFonts w:ascii="黑体" w:hAnsi="黑体" w:eastAsia="黑体" w:cs="黑体"/>
          <w:b w:val="0"/>
          <w:bCs/>
          <w:color w:val="000000" w:themeColor="text1"/>
          <w:sz w:val="30"/>
          <w:szCs w:val="30"/>
          <w14:textFill>
            <w14:solidFill>
              <w14:schemeClr w14:val="tx1"/>
            </w14:solidFill>
          </w14:textFill>
        </w:rPr>
      </w:pPr>
      <w:bookmarkStart w:id="36" w:name="_Toc16060"/>
      <w:r>
        <w:rPr>
          <w:rFonts w:hint="eastAsia" w:ascii="黑体" w:hAnsi="黑体" w:eastAsia="黑体" w:cs="黑体"/>
          <w:b w:val="0"/>
          <w:bCs/>
          <w:color w:val="000000" w:themeColor="text1"/>
          <w:sz w:val="30"/>
          <w:szCs w:val="30"/>
          <w14:textFill>
            <w14:solidFill>
              <w14:schemeClr w14:val="tx1"/>
            </w14:solidFill>
          </w14:textFill>
        </w:rPr>
        <w:t>七、教学进程总体安排</w:t>
      </w:r>
      <w:bookmarkEnd w:id="36"/>
    </w:p>
    <w:p>
      <w:pPr>
        <w:pStyle w:val="84"/>
        <w:spacing w:line="560" w:lineRule="exact"/>
        <w:outlineLvl w:val="1"/>
        <w:rPr>
          <w:rFonts w:ascii="楷体_GB2312" w:hAnsi="楷体_GB2312" w:eastAsia="楷体_GB2312" w:cs="楷体_GB2312"/>
          <w:b w:val="0"/>
          <w:bCs/>
          <w:color w:val="000000" w:themeColor="text1"/>
          <w:sz w:val="30"/>
          <w:szCs w:val="30"/>
          <w14:textFill>
            <w14:solidFill>
              <w14:schemeClr w14:val="tx1"/>
            </w14:solidFill>
          </w14:textFill>
        </w:rPr>
      </w:pPr>
      <w:bookmarkStart w:id="37" w:name="_Toc18477"/>
      <w:r>
        <w:rPr>
          <w:rFonts w:hint="eastAsia" w:ascii="楷体_GB2312" w:hAnsi="楷体_GB2312" w:eastAsia="楷体_GB2312" w:cs="楷体_GB2312"/>
          <w:b w:val="0"/>
          <w:bCs/>
          <w:color w:val="000000" w:themeColor="text1"/>
          <w:sz w:val="30"/>
          <w:szCs w:val="30"/>
          <w14:textFill>
            <w14:solidFill>
              <w14:schemeClr w14:val="tx1"/>
            </w14:solidFill>
          </w14:textFill>
        </w:rPr>
        <w:t>（一）教育教学时间安排表</w:t>
      </w:r>
      <w:bookmarkEnd w:id="37"/>
    </w:p>
    <w:tbl>
      <w:tblPr>
        <w:tblStyle w:val="27"/>
        <w:tblW w:w="8792"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30"/>
        <w:gridCol w:w="916"/>
        <w:gridCol w:w="916"/>
        <w:gridCol w:w="916"/>
        <w:gridCol w:w="916"/>
        <w:gridCol w:w="919"/>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3030"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教育教学活动</w:t>
            </w:r>
          </w:p>
        </w:tc>
        <w:tc>
          <w:tcPr>
            <w:tcW w:w="5762" w:type="dxa"/>
            <w:gridSpan w:val="6"/>
            <w:tcBorders>
              <w:top w:val="single" w:color="000000" w:sz="4" w:space="0"/>
              <w:left w:val="single" w:color="auto" w:sz="4" w:space="0"/>
              <w:bottom w:val="single" w:color="000000" w:sz="4" w:space="0"/>
              <w:right w:val="single" w:color="000000" w:sz="4" w:space="0"/>
            </w:tcBorders>
          </w:tcPr>
          <w:p>
            <w:pPr>
              <w:spacing w:line="360" w:lineRule="auto"/>
              <w:jc w:val="center"/>
              <w:rPr>
                <w:rFonts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各学期周数分配（周）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303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b/>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w:t>
            </w:r>
          </w:p>
        </w:tc>
        <w:tc>
          <w:tcPr>
            <w:tcW w:w="916"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w:t>
            </w:r>
          </w:p>
        </w:tc>
        <w:tc>
          <w:tcPr>
            <w:tcW w:w="916"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w:t>
            </w:r>
          </w:p>
        </w:tc>
        <w:tc>
          <w:tcPr>
            <w:tcW w:w="916"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四</w:t>
            </w:r>
          </w:p>
        </w:tc>
        <w:tc>
          <w:tcPr>
            <w:tcW w:w="919"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五</w:t>
            </w:r>
          </w:p>
        </w:tc>
        <w:tc>
          <w:tcPr>
            <w:tcW w:w="1179"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3030"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课程教学（理论、实践）</w:t>
            </w:r>
          </w:p>
        </w:tc>
        <w:tc>
          <w:tcPr>
            <w:tcW w:w="916" w:type="dxa"/>
            <w:vMerge w:val="restart"/>
            <w:tcBorders>
              <w:top w:val="single" w:color="auto" w:sz="4" w:space="0"/>
              <w:left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16</w:t>
            </w:r>
          </w:p>
        </w:tc>
        <w:tc>
          <w:tcPr>
            <w:tcW w:w="916" w:type="dxa"/>
            <w:vMerge w:val="restart"/>
            <w:tcBorders>
              <w:top w:val="single" w:color="auto" w:sz="4" w:space="0"/>
              <w:left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18</w:t>
            </w:r>
          </w:p>
        </w:tc>
        <w:tc>
          <w:tcPr>
            <w:tcW w:w="916" w:type="dxa"/>
            <w:vMerge w:val="restart"/>
            <w:tcBorders>
              <w:top w:val="single" w:color="auto" w:sz="4" w:space="0"/>
              <w:left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18</w:t>
            </w:r>
          </w:p>
        </w:tc>
        <w:tc>
          <w:tcPr>
            <w:tcW w:w="916" w:type="dxa"/>
            <w:vMerge w:val="restart"/>
            <w:tcBorders>
              <w:top w:val="single" w:color="auto" w:sz="4" w:space="0"/>
              <w:left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18</w:t>
            </w:r>
          </w:p>
        </w:tc>
        <w:tc>
          <w:tcPr>
            <w:tcW w:w="919" w:type="dxa"/>
            <w:vMerge w:val="restart"/>
            <w:tcBorders>
              <w:top w:val="single" w:color="auto" w:sz="4" w:space="0"/>
              <w:left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18</w:t>
            </w:r>
          </w:p>
        </w:tc>
        <w:tc>
          <w:tcPr>
            <w:tcW w:w="1179" w:type="dxa"/>
            <w:vMerge w:val="restart"/>
            <w:tcBorders>
              <w:top w:val="single" w:color="auto" w:sz="4" w:space="0"/>
              <w:left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六个月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3030"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阶段性实践教学</w:t>
            </w:r>
          </w:p>
        </w:tc>
        <w:tc>
          <w:tcPr>
            <w:tcW w:w="916" w:type="dxa"/>
            <w:vMerge w:val="continue"/>
            <w:tcBorders>
              <w:left w:val="single" w:color="auto" w:sz="4" w:space="0"/>
              <w:right w:val="single" w:color="auto" w:sz="4" w:space="0"/>
            </w:tcBorders>
            <w:vAlign w:val="center"/>
          </w:tcPr>
          <w:p>
            <w:pPr>
              <w:spacing w:line="360" w:lineRule="auto"/>
              <w:rPr>
                <w:rFonts w:ascii="仿宋_GB2312" w:hAnsi="仿宋_GB2312" w:eastAsia="仿宋_GB2312" w:cs="仿宋_GB2312"/>
                <w:color w:val="000000" w:themeColor="text1"/>
                <w:sz w:val="24"/>
                <w:szCs w:val="24"/>
                <w14:textFill>
                  <w14:solidFill>
                    <w14:schemeClr w14:val="tx1"/>
                  </w14:solidFill>
                </w14:textFill>
              </w:rPr>
            </w:pPr>
          </w:p>
        </w:tc>
        <w:tc>
          <w:tcPr>
            <w:tcW w:w="916" w:type="dxa"/>
            <w:vMerge w:val="continue"/>
            <w:tcBorders>
              <w:left w:val="single" w:color="auto" w:sz="4" w:space="0"/>
              <w:right w:val="single" w:color="auto" w:sz="4" w:space="0"/>
            </w:tcBorders>
            <w:vAlign w:val="center"/>
          </w:tcPr>
          <w:p>
            <w:pPr>
              <w:spacing w:line="360" w:lineRule="auto"/>
              <w:rPr>
                <w:rFonts w:ascii="仿宋_GB2312" w:hAnsi="仿宋_GB2312" w:eastAsia="仿宋_GB2312" w:cs="仿宋_GB2312"/>
                <w:color w:val="000000" w:themeColor="text1"/>
                <w:sz w:val="24"/>
                <w:szCs w:val="24"/>
                <w14:textFill>
                  <w14:solidFill>
                    <w14:schemeClr w14:val="tx1"/>
                  </w14:solidFill>
                </w14:textFill>
              </w:rPr>
            </w:pPr>
          </w:p>
        </w:tc>
        <w:tc>
          <w:tcPr>
            <w:tcW w:w="916" w:type="dxa"/>
            <w:vMerge w:val="continue"/>
            <w:tcBorders>
              <w:left w:val="single" w:color="auto" w:sz="4" w:space="0"/>
              <w:right w:val="single" w:color="auto" w:sz="4" w:space="0"/>
            </w:tcBorders>
            <w:vAlign w:val="center"/>
          </w:tcPr>
          <w:p>
            <w:pPr>
              <w:spacing w:line="360" w:lineRule="auto"/>
              <w:rPr>
                <w:rFonts w:ascii="仿宋_GB2312" w:hAnsi="仿宋_GB2312" w:eastAsia="仿宋_GB2312" w:cs="仿宋_GB2312"/>
                <w:color w:val="000000" w:themeColor="text1"/>
                <w:sz w:val="24"/>
                <w:szCs w:val="24"/>
                <w14:textFill>
                  <w14:solidFill>
                    <w14:schemeClr w14:val="tx1"/>
                  </w14:solidFill>
                </w14:textFill>
              </w:rPr>
            </w:pPr>
          </w:p>
        </w:tc>
        <w:tc>
          <w:tcPr>
            <w:tcW w:w="916" w:type="dxa"/>
            <w:vMerge w:val="continue"/>
            <w:tcBorders>
              <w:left w:val="single" w:color="auto" w:sz="4" w:space="0"/>
              <w:right w:val="single" w:color="auto" w:sz="4" w:space="0"/>
            </w:tcBorders>
            <w:vAlign w:val="center"/>
          </w:tcPr>
          <w:p>
            <w:pPr>
              <w:spacing w:line="360" w:lineRule="auto"/>
              <w:rPr>
                <w:rFonts w:ascii="仿宋_GB2312" w:hAnsi="仿宋_GB2312" w:eastAsia="仿宋_GB2312" w:cs="仿宋_GB2312"/>
                <w:color w:val="000000" w:themeColor="text1"/>
                <w:sz w:val="24"/>
                <w:szCs w:val="24"/>
                <w14:textFill>
                  <w14:solidFill>
                    <w14:schemeClr w14:val="tx1"/>
                  </w14:solidFill>
                </w14:textFill>
              </w:rPr>
            </w:pPr>
          </w:p>
        </w:tc>
        <w:tc>
          <w:tcPr>
            <w:tcW w:w="919" w:type="dxa"/>
            <w:vMerge w:val="continue"/>
            <w:tcBorders>
              <w:left w:val="single" w:color="auto" w:sz="4" w:space="0"/>
              <w:right w:val="single" w:color="auto" w:sz="4" w:space="0"/>
            </w:tcBorders>
          </w:tcPr>
          <w:p>
            <w:pPr>
              <w:spacing w:line="360" w:lineRule="auto"/>
              <w:rPr>
                <w:rFonts w:ascii="仿宋_GB2312" w:hAnsi="仿宋_GB2312" w:eastAsia="仿宋_GB2312" w:cs="仿宋_GB2312"/>
                <w:color w:val="000000" w:themeColor="text1"/>
                <w:sz w:val="24"/>
                <w:szCs w:val="24"/>
                <w14:textFill>
                  <w14:solidFill>
                    <w14:schemeClr w14:val="tx1"/>
                  </w14:solidFill>
                </w14:textFill>
              </w:rPr>
            </w:pPr>
          </w:p>
        </w:tc>
        <w:tc>
          <w:tcPr>
            <w:tcW w:w="1179" w:type="dxa"/>
            <w:vMerge w:val="continue"/>
            <w:tcBorders>
              <w:left w:val="single" w:color="auto" w:sz="4" w:space="0"/>
              <w:right w:val="single" w:color="000000" w:sz="4" w:space="0"/>
            </w:tcBorders>
          </w:tcPr>
          <w:p>
            <w:pPr>
              <w:spacing w:line="360" w:lineRule="auto"/>
              <w:rPr>
                <w:rFonts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 w:hRule="atLeast"/>
        </w:trPr>
        <w:tc>
          <w:tcPr>
            <w:tcW w:w="30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职业技能培训及技能鉴定</w:t>
            </w:r>
          </w:p>
        </w:tc>
        <w:tc>
          <w:tcPr>
            <w:tcW w:w="916" w:type="dxa"/>
            <w:vMerge w:val="continue"/>
            <w:tcBorders>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916" w:type="dxa"/>
            <w:vMerge w:val="continue"/>
            <w:tcBorders>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916" w:type="dxa"/>
            <w:vMerge w:val="continue"/>
            <w:tcBorders>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916" w:type="dxa"/>
            <w:vMerge w:val="continue"/>
            <w:tcBorders>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919" w:type="dxa"/>
            <w:vMerge w:val="continue"/>
            <w:tcBorders>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1179" w:type="dxa"/>
            <w:vMerge w:val="continue"/>
            <w:tcBorders>
              <w:left w:val="single" w:color="auto" w:sz="4" w:space="0"/>
              <w:right w:val="single" w:color="000000" w:sz="4" w:space="0"/>
            </w:tcBorders>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30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复习与考试</w:t>
            </w:r>
          </w:p>
        </w:tc>
        <w:tc>
          <w:tcPr>
            <w:tcW w:w="916"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916"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916"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916"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919"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1179" w:type="dxa"/>
            <w:vMerge w:val="continue"/>
            <w:tcBorders>
              <w:left w:val="single" w:color="auto" w:sz="4" w:space="0"/>
              <w:right w:val="single" w:color="000000" w:sz="4" w:space="0"/>
            </w:tcBorders>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30"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劳动实践/机动</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919"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1179" w:type="dxa"/>
            <w:vMerge w:val="continue"/>
            <w:tcBorders>
              <w:left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3030"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军训（入学教育）</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919"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1179" w:type="dxa"/>
            <w:vMerge w:val="continue"/>
            <w:tcBorders>
              <w:left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3030"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顶岗实习</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919"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1179" w:type="dxa"/>
            <w:vMerge w:val="continue"/>
            <w:tcBorders>
              <w:left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3030" w:type="dxa"/>
            <w:tcBorders>
              <w:top w:val="single" w:color="auto"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         计</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w:t>
            </w:r>
          </w:p>
        </w:tc>
        <w:tc>
          <w:tcPr>
            <w:tcW w:w="919"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w:t>
            </w:r>
          </w:p>
        </w:tc>
        <w:tc>
          <w:tcPr>
            <w:tcW w:w="1179" w:type="dxa"/>
            <w:vMerge w:val="continue"/>
            <w:tcBorders>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r>
    </w:tbl>
    <w:p>
      <w:pPr>
        <w:pStyle w:val="84"/>
        <w:spacing w:line="560" w:lineRule="exact"/>
        <w:outlineLvl w:val="1"/>
        <w:rPr>
          <w:rFonts w:ascii="楷体_GB2312" w:hAnsi="楷体_GB2312" w:eastAsia="楷体_GB2312" w:cs="楷体_GB2312"/>
          <w:b w:val="0"/>
          <w:bCs/>
          <w:color w:val="000000" w:themeColor="text1"/>
          <w:sz w:val="32"/>
          <w:szCs w:val="32"/>
          <w14:textFill>
            <w14:solidFill>
              <w14:schemeClr w14:val="tx1"/>
            </w14:solidFill>
          </w14:textFill>
        </w:rPr>
      </w:pPr>
      <w:bookmarkStart w:id="38" w:name="_Toc20608"/>
      <w:r>
        <w:rPr>
          <w:rFonts w:hint="eastAsia" w:ascii="楷体_GB2312" w:hAnsi="楷体_GB2312" w:eastAsia="楷体_GB2312" w:cs="楷体_GB2312"/>
          <w:b w:val="0"/>
          <w:bCs/>
          <w:color w:val="000000" w:themeColor="text1"/>
          <w:sz w:val="30"/>
          <w:szCs w:val="30"/>
          <w14:textFill>
            <w14:solidFill>
              <w14:schemeClr w14:val="tx1"/>
            </w14:solidFill>
          </w14:textFill>
        </w:rPr>
        <w:t>（二）理论与实践教学学时分配表</w:t>
      </w:r>
      <w:bookmarkEnd w:id="38"/>
    </w:p>
    <w:tbl>
      <w:tblPr>
        <w:tblStyle w:val="27"/>
        <w:tblW w:w="8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9"/>
        <w:gridCol w:w="1795"/>
        <w:gridCol w:w="992"/>
        <w:gridCol w:w="1417"/>
        <w:gridCol w:w="1134"/>
        <w:gridCol w:w="1132"/>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2764"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课  程  分  类</w:t>
            </w:r>
          </w:p>
        </w:tc>
        <w:tc>
          <w:tcPr>
            <w:tcW w:w="992" w:type="dxa"/>
            <w:vMerge w:val="restart"/>
            <w:tcBorders>
              <w:top w:val="single" w:color="000000"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总学时</w:t>
            </w:r>
          </w:p>
        </w:tc>
        <w:tc>
          <w:tcPr>
            <w:tcW w:w="2551" w:type="dxa"/>
            <w:gridSpan w:val="2"/>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理  论  教  学</w:t>
            </w:r>
          </w:p>
        </w:tc>
        <w:tc>
          <w:tcPr>
            <w:tcW w:w="2425" w:type="dxa"/>
            <w:gridSpan w:val="2"/>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实  践  教  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2764"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
                <w:color w:val="000000" w:themeColor="text1"/>
                <w:sz w:val="24"/>
                <w:szCs w:val="24"/>
                <w14:textFill>
                  <w14:solidFill>
                    <w14:schemeClr w14:val="tx1"/>
                  </w14:solidFill>
                </w14:textFill>
              </w:rPr>
            </w:pPr>
          </w:p>
        </w:tc>
        <w:tc>
          <w:tcPr>
            <w:tcW w:w="992" w:type="dxa"/>
            <w:vMerge w:val="continue"/>
            <w:tcBorders>
              <w:top w:val="single" w:color="auto" w:sz="4" w:space="0"/>
              <w:left w:val="single" w:color="auto" w:sz="4" w:space="0"/>
              <w:bottom w:val="single" w:color="000000" w:sz="4" w:space="0"/>
              <w:right w:val="single" w:color="auto" w:sz="4" w:space="0"/>
            </w:tcBorders>
            <w:vAlign w:val="center"/>
          </w:tcPr>
          <w:p>
            <w:pPr>
              <w:spacing w:line="360" w:lineRule="auto"/>
              <w:jc w:val="center"/>
              <w:rPr>
                <w:rFonts w:ascii="仿宋_GB2312" w:hAnsi="仿宋_GB2312" w:eastAsia="仿宋_GB2312" w:cs="仿宋_GB2312"/>
                <w:b/>
                <w:color w:val="000000" w:themeColor="text1"/>
                <w:sz w:val="24"/>
                <w:szCs w:val="24"/>
                <w14:textFill>
                  <w14:solidFill>
                    <w14:schemeClr w14:val="tx1"/>
                  </w14:solidFill>
                </w14:textFill>
              </w:rPr>
            </w:pPr>
          </w:p>
        </w:tc>
        <w:tc>
          <w:tcPr>
            <w:tcW w:w="1417"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学 时</w:t>
            </w:r>
          </w:p>
        </w:tc>
        <w:tc>
          <w:tcPr>
            <w:tcW w:w="1134"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学时比例%</w:t>
            </w:r>
          </w:p>
        </w:tc>
        <w:tc>
          <w:tcPr>
            <w:tcW w:w="1132"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学 时</w:t>
            </w:r>
          </w:p>
        </w:tc>
        <w:tc>
          <w:tcPr>
            <w:tcW w:w="1293"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学时比例%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969" w:type="dxa"/>
            <w:vMerge w:val="restart"/>
            <w:tcBorders>
              <w:top w:val="single" w:color="auto" w:sz="4" w:space="0"/>
              <w:left w:val="single" w:color="000000" w:sz="4" w:space="0"/>
              <w:bottom w:val="single" w:color="auto" w:sz="4" w:space="0"/>
              <w:right w:val="single" w:color="000000" w:sz="4" w:space="0"/>
            </w:tcBorders>
            <w:vAlign w:val="center"/>
          </w:tcPr>
          <w:p>
            <w:pPr>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必</w:t>
            </w:r>
          </w:p>
          <w:p>
            <w:pPr>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修</w:t>
            </w:r>
          </w:p>
          <w:p>
            <w:pPr>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课</w:t>
            </w:r>
          </w:p>
        </w:tc>
        <w:tc>
          <w:tcPr>
            <w:tcW w:w="1795"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公共基础课</w:t>
            </w:r>
          </w:p>
        </w:tc>
        <w:tc>
          <w:tcPr>
            <w:tcW w:w="992" w:type="dxa"/>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w:t>
            </w:r>
            <w:r>
              <w:rPr>
                <w:rFonts w:ascii="仿宋_GB2312" w:hAnsi="仿宋_GB2312" w:eastAsia="仿宋_GB2312" w:cs="仿宋_GB2312"/>
                <w:color w:val="000000" w:themeColor="text1"/>
                <w:sz w:val="24"/>
                <w:szCs w:val="24"/>
                <w14:textFill>
                  <w14:solidFill>
                    <w14:schemeClr w14:val="tx1"/>
                  </w14:solidFill>
                </w14:textFill>
              </w:rPr>
              <w:t>02</w:t>
            </w:r>
          </w:p>
        </w:tc>
        <w:tc>
          <w:tcPr>
            <w:tcW w:w="1417" w:type="dxa"/>
            <w:tcBorders>
              <w:top w:val="single" w:color="auto" w:sz="4" w:space="0"/>
              <w:left w:val="single" w:color="auto" w:sz="4" w:space="0"/>
              <w:bottom w:val="single" w:color="000000" w:sz="4" w:space="0"/>
              <w:right w:val="single" w:color="000000" w:sz="4" w:space="0"/>
            </w:tcBorders>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ascii="仿宋_GB2312" w:hAnsi="仿宋_GB2312" w:eastAsia="仿宋_GB2312" w:cs="仿宋_GB2312"/>
                <w:color w:val="000000" w:themeColor="text1"/>
                <w:sz w:val="24"/>
                <w:szCs w:val="24"/>
                <w14:textFill>
                  <w14:solidFill>
                    <w14:schemeClr w14:val="tx1"/>
                  </w14:solidFill>
                </w14:textFill>
              </w:rPr>
              <w:t>430</w:t>
            </w:r>
          </w:p>
        </w:tc>
        <w:tc>
          <w:tcPr>
            <w:tcW w:w="1134" w:type="dxa"/>
            <w:tcBorders>
              <w:top w:val="single" w:color="auto" w:sz="4" w:space="0"/>
              <w:left w:val="single" w:color="auto" w:sz="4" w:space="0"/>
              <w:bottom w:val="single" w:color="000000" w:sz="4" w:space="0"/>
              <w:right w:val="single" w:color="000000" w:sz="4" w:space="0"/>
            </w:tcBorders>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ascii="仿宋_GB2312" w:hAnsi="仿宋_GB2312" w:eastAsia="仿宋_GB2312" w:cs="仿宋_GB2312"/>
                <w:color w:val="000000" w:themeColor="text1"/>
                <w:sz w:val="24"/>
                <w:szCs w:val="24"/>
                <w14:textFill>
                  <w14:solidFill>
                    <w14:schemeClr w14:val="tx1"/>
                  </w14:solidFill>
                </w14:textFill>
              </w:rPr>
              <w:t>61.2%</w:t>
            </w:r>
          </w:p>
        </w:tc>
        <w:tc>
          <w:tcPr>
            <w:tcW w:w="1132" w:type="dxa"/>
            <w:tcBorders>
              <w:top w:val="single" w:color="auto" w:sz="4" w:space="0"/>
              <w:left w:val="single" w:color="auto" w:sz="4" w:space="0"/>
              <w:bottom w:val="single" w:color="000000" w:sz="4" w:space="0"/>
              <w:right w:val="single" w:color="000000" w:sz="4" w:space="0"/>
            </w:tcBorders>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ascii="仿宋_GB2312" w:hAnsi="仿宋_GB2312" w:eastAsia="仿宋_GB2312" w:cs="仿宋_GB2312"/>
                <w:color w:val="000000" w:themeColor="text1"/>
                <w:sz w:val="24"/>
                <w:szCs w:val="24"/>
                <w14:textFill>
                  <w14:solidFill>
                    <w14:schemeClr w14:val="tx1"/>
                  </w14:solidFill>
                </w14:textFill>
              </w:rPr>
              <w:t>272</w:t>
            </w:r>
          </w:p>
        </w:tc>
        <w:tc>
          <w:tcPr>
            <w:tcW w:w="1293" w:type="dxa"/>
            <w:tcBorders>
              <w:top w:val="single" w:color="auto" w:sz="4" w:space="0"/>
              <w:left w:val="single" w:color="auto" w:sz="4" w:space="0"/>
              <w:bottom w:val="single" w:color="000000" w:sz="4" w:space="0"/>
              <w:right w:val="single" w:color="000000" w:sz="4" w:space="0"/>
            </w:tcBorders>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ascii="仿宋_GB2312" w:hAnsi="仿宋_GB2312" w:eastAsia="仿宋_GB2312" w:cs="仿宋_GB2312"/>
                <w:color w:val="000000" w:themeColor="text1"/>
                <w:sz w:val="24"/>
                <w:szCs w:val="24"/>
                <w14:textFill>
                  <w14:solidFill>
                    <w14:schemeClr w14:val="tx1"/>
                  </w14:solidFill>
                </w14:textFill>
              </w:rPr>
              <w:t>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69"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仿宋_GB2312" w:hAnsi="仿宋_GB2312" w:eastAsia="仿宋_GB2312" w:cs="仿宋_GB2312"/>
                <w:color w:val="000000" w:themeColor="text1"/>
                <w:sz w:val="24"/>
                <w:szCs w:val="24"/>
                <w14:textFill>
                  <w14:solidFill>
                    <w14:schemeClr w14:val="tx1"/>
                  </w14:solidFill>
                </w14:textFill>
              </w:rPr>
            </w:pPr>
          </w:p>
        </w:tc>
        <w:tc>
          <w:tcPr>
            <w:tcW w:w="1795"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专业（技能）课</w:t>
            </w:r>
          </w:p>
        </w:tc>
        <w:tc>
          <w:tcPr>
            <w:tcW w:w="992" w:type="dxa"/>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ascii="仿宋_GB2312" w:hAnsi="仿宋_GB2312" w:eastAsia="仿宋_GB2312" w:cs="仿宋_GB2312"/>
                <w:color w:val="000000" w:themeColor="text1"/>
                <w:sz w:val="24"/>
                <w:szCs w:val="24"/>
                <w14:textFill>
                  <w14:solidFill>
                    <w14:schemeClr w14:val="tx1"/>
                  </w14:solidFill>
                </w14:textFill>
              </w:rPr>
              <w:t>2360</w:t>
            </w:r>
          </w:p>
        </w:tc>
        <w:tc>
          <w:tcPr>
            <w:tcW w:w="1417"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r>
              <w:rPr>
                <w:rFonts w:ascii="仿宋_GB2312" w:hAnsi="仿宋_GB2312" w:eastAsia="仿宋_GB2312" w:cs="仿宋_GB2312"/>
                <w:color w:val="000000" w:themeColor="text1"/>
                <w:sz w:val="24"/>
                <w:szCs w:val="24"/>
                <w14:textFill>
                  <w14:solidFill>
                    <w14:schemeClr w14:val="tx1"/>
                  </w14:solidFill>
                </w14:textFill>
              </w:rPr>
              <w:t>64</w:t>
            </w:r>
          </w:p>
        </w:tc>
        <w:tc>
          <w:tcPr>
            <w:tcW w:w="1134"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ascii="仿宋_GB2312" w:hAnsi="仿宋_GB2312" w:eastAsia="仿宋_GB2312" w:cs="仿宋_GB2312"/>
                <w:color w:val="000000" w:themeColor="text1"/>
                <w:sz w:val="24"/>
                <w:szCs w:val="24"/>
                <w14:textFill>
                  <w14:solidFill>
                    <w14:schemeClr w14:val="tx1"/>
                  </w14:solidFill>
                </w14:textFill>
              </w:rPr>
              <w:t>9.7%</w:t>
            </w:r>
          </w:p>
        </w:tc>
        <w:tc>
          <w:tcPr>
            <w:tcW w:w="1132"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ascii="仿宋_GB2312" w:hAnsi="仿宋_GB2312" w:eastAsia="仿宋_GB2312" w:cs="仿宋_GB2312"/>
                <w:color w:val="000000" w:themeColor="text1"/>
                <w:sz w:val="24"/>
                <w:szCs w:val="24"/>
                <w14:textFill>
                  <w14:solidFill>
                    <w14:schemeClr w14:val="tx1"/>
                  </w14:solidFill>
                </w14:textFill>
              </w:rPr>
              <w:t>896</w:t>
            </w:r>
          </w:p>
        </w:tc>
        <w:tc>
          <w:tcPr>
            <w:tcW w:w="1293"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w:t>
            </w:r>
            <w:r>
              <w:rPr>
                <w:rFonts w:ascii="仿宋_GB2312" w:hAnsi="仿宋_GB2312" w:eastAsia="仿宋_GB2312" w:cs="仿宋_GB2312"/>
                <w:color w:val="000000" w:themeColor="text1"/>
                <w:sz w:val="24"/>
                <w:szCs w:val="24"/>
                <w14:textFill>
                  <w14:solidFill>
                    <w14:schemeClr w14:val="tx1"/>
                  </w14:solidFill>
                </w14:textFill>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69" w:type="dxa"/>
            <w:vMerge w:val="restart"/>
            <w:tcBorders>
              <w:top w:val="single" w:color="auto"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选</w:t>
            </w:r>
          </w:p>
          <w:p>
            <w:pPr>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修</w:t>
            </w:r>
          </w:p>
          <w:p>
            <w:pPr>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课</w:t>
            </w:r>
          </w:p>
        </w:tc>
        <w:tc>
          <w:tcPr>
            <w:tcW w:w="1795"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公共基础课</w:t>
            </w:r>
          </w:p>
        </w:tc>
        <w:tc>
          <w:tcPr>
            <w:tcW w:w="992" w:type="dxa"/>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9</w:t>
            </w:r>
            <w:r>
              <w:rPr>
                <w:rFonts w:ascii="仿宋_GB2312" w:hAnsi="仿宋_GB2312" w:eastAsia="仿宋_GB2312" w:cs="仿宋_GB2312"/>
                <w:color w:val="000000" w:themeColor="text1"/>
                <w:sz w:val="24"/>
                <w:szCs w:val="24"/>
                <w14:textFill>
                  <w14:solidFill>
                    <w14:schemeClr w14:val="tx1"/>
                  </w14:solidFill>
                </w14:textFill>
              </w:rPr>
              <w:t>6</w:t>
            </w:r>
          </w:p>
        </w:tc>
        <w:tc>
          <w:tcPr>
            <w:tcW w:w="1417"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w:t>
            </w:r>
            <w:r>
              <w:rPr>
                <w:rFonts w:ascii="仿宋_GB2312" w:hAnsi="仿宋_GB2312" w:eastAsia="仿宋_GB2312" w:cs="仿宋_GB2312"/>
                <w:color w:val="000000" w:themeColor="text1"/>
                <w:sz w:val="24"/>
                <w:szCs w:val="24"/>
                <w14:textFill>
                  <w14:solidFill>
                    <w14:schemeClr w14:val="tx1"/>
                  </w14:solidFill>
                </w14:textFill>
              </w:rPr>
              <w:t>4</w:t>
            </w:r>
          </w:p>
        </w:tc>
        <w:tc>
          <w:tcPr>
            <w:tcW w:w="1134"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ascii="仿宋_GB2312" w:hAnsi="仿宋_GB2312" w:eastAsia="仿宋_GB2312" w:cs="仿宋_GB2312"/>
                <w:color w:val="000000" w:themeColor="text1"/>
                <w:sz w:val="24"/>
                <w:szCs w:val="24"/>
                <w14:textFill>
                  <w14:solidFill>
                    <w14:schemeClr w14:val="tx1"/>
                  </w14:solidFill>
                </w14:textFill>
              </w:rPr>
              <w:t>66.7%</w:t>
            </w:r>
          </w:p>
        </w:tc>
        <w:tc>
          <w:tcPr>
            <w:tcW w:w="1132"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r>
              <w:rPr>
                <w:rFonts w:ascii="仿宋_GB2312" w:hAnsi="仿宋_GB2312" w:eastAsia="仿宋_GB2312" w:cs="仿宋_GB2312"/>
                <w:color w:val="000000" w:themeColor="text1"/>
                <w:sz w:val="24"/>
                <w:szCs w:val="24"/>
                <w14:textFill>
                  <w14:solidFill>
                    <w14:schemeClr w14:val="tx1"/>
                  </w14:solidFill>
                </w14:textFill>
              </w:rPr>
              <w:t>2</w:t>
            </w:r>
          </w:p>
        </w:tc>
        <w:tc>
          <w:tcPr>
            <w:tcW w:w="1293"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ascii="仿宋_GB2312" w:hAnsi="仿宋_GB2312" w:eastAsia="仿宋_GB2312" w:cs="仿宋_GB2312"/>
                <w:color w:val="000000" w:themeColor="text1"/>
                <w:sz w:val="24"/>
                <w:szCs w:val="24"/>
                <w14:textFill>
                  <w14:solidFill>
                    <w14:schemeClr w14:val="tx1"/>
                  </w14:solidFill>
                </w14:textFill>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6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1795"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专业（技能）课</w:t>
            </w:r>
          </w:p>
        </w:tc>
        <w:tc>
          <w:tcPr>
            <w:tcW w:w="992" w:type="dxa"/>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r>
              <w:rPr>
                <w:rFonts w:ascii="仿宋_GB2312" w:hAnsi="仿宋_GB2312" w:eastAsia="仿宋_GB2312" w:cs="仿宋_GB2312"/>
                <w:color w:val="000000" w:themeColor="text1"/>
                <w:sz w:val="24"/>
                <w:szCs w:val="24"/>
                <w14:textFill>
                  <w14:solidFill>
                    <w14:schemeClr w14:val="tx1"/>
                  </w14:solidFill>
                </w14:textFill>
              </w:rPr>
              <w:t>56</w:t>
            </w:r>
          </w:p>
        </w:tc>
        <w:tc>
          <w:tcPr>
            <w:tcW w:w="1417"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ascii="仿宋_GB2312" w:hAnsi="仿宋_GB2312" w:eastAsia="仿宋_GB2312" w:cs="仿宋_GB2312"/>
                <w:color w:val="000000" w:themeColor="text1"/>
                <w:sz w:val="24"/>
                <w:szCs w:val="24"/>
                <w14:textFill>
                  <w14:solidFill>
                    <w14:schemeClr w14:val="tx1"/>
                  </w14:solidFill>
                </w14:textFill>
              </w:rPr>
              <w:t>60</w:t>
            </w:r>
          </w:p>
        </w:tc>
        <w:tc>
          <w:tcPr>
            <w:tcW w:w="1134"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w:t>
            </w:r>
            <w:r>
              <w:rPr>
                <w:rFonts w:ascii="仿宋_GB2312" w:hAnsi="仿宋_GB2312" w:eastAsia="仿宋_GB2312" w:cs="仿宋_GB2312"/>
                <w:color w:val="000000" w:themeColor="text1"/>
                <w:sz w:val="24"/>
                <w:szCs w:val="24"/>
                <w14:textFill>
                  <w14:solidFill>
                    <w14:schemeClr w14:val="tx1"/>
                  </w14:solidFill>
                </w14:textFill>
              </w:rPr>
              <w:t>2.5%</w:t>
            </w:r>
          </w:p>
        </w:tc>
        <w:tc>
          <w:tcPr>
            <w:tcW w:w="1132"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9</w:t>
            </w:r>
            <w:r>
              <w:rPr>
                <w:rFonts w:ascii="仿宋_GB2312" w:hAnsi="仿宋_GB2312" w:eastAsia="仿宋_GB2312" w:cs="仿宋_GB2312"/>
                <w:color w:val="000000" w:themeColor="text1"/>
                <w:sz w:val="24"/>
                <w:szCs w:val="24"/>
                <w14:textFill>
                  <w14:solidFill>
                    <w14:schemeClr w14:val="tx1"/>
                  </w14:solidFill>
                </w14:textFill>
              </w:rPr>
              <w:t>6</w:t>
            </w:r>
          </w:p>
        </w:tc>
        <w:tc>
          <w:tcPr>
            <w:tcW w:w="1293"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r>
              <w:rPr>
                <w:rFonts w:ascii="仿宋_GB2312" w:hAnsi="仿宋_GB2312" w:eastAsia="仿宋_GB2312" w:cs="仿宋_GB2312"/>
                <w:color w:val="000000" w:themeColor="text1"/>
                <w:sz w:val="24"/>
                <w:szCs w:val="24"/>
                <w14:textFill>
                  <w14:solidFill>
                    <w14:schemeClr w14:val="tx1"/>
                  </w14:solidFill>
                </w14:textFill>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764" w:type="dxa"/>
            <w:gridSpan w:val="2"/>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         计</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r>
              <w:rPr>
                <w:rFonts w:ascii="仿宋_GB2312" w:hAnsi="仿宋_GB2312" w:eastAsia="仿宋_GB2312" w:cs="仿宋_GB2312"/>
                <w:color w:val="000000" w:themeColor="text1"/>
                <w:sz w:val="24"/>
                <w:szCs w:val="24"/>
                <w14:textFill>
                  <w14:solidFill>
                    <w14:schemeClr w14:val="tx1"/>
                  </w14:solidFill>
                </w14:textFill>
              </w:rPr>
              <w:t>414</w:t>
            </w:r>
          </w:p>
        </w:tc>
        <w:tc>
          <w:tcPr>
            <w:tcW w:w="1417"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ascii="仿宋_GB2312" w:hAnsi="仿宋_GB2312" w:eastAsia="仿宋_GB2312" w:cs="仿宋_GB2312"/>
                <w:color w:val="000000" w:themeColor="text1"/>
                <w:sz w:val="24"/>
                <w:szCs w:val="24"/>
                <w14:textFill>
                  <w14:solidFill>
                    <w14:schemeClr w14:val="tx1"/>
                  </w14:solidFill>
                </w14:textFill>
              </w:rPr>
              <w:t>118</w:t>
            </w:r>
          </w:p>
        </w:tc>
        <w:tc>
          <w:tcPr>
            <w:tcW w:w="1134"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r>
              <w:rPr>
                <w:rFonts w:ascii="仿宋_GB2312" w:hAnsi="仿宋_GB2312" w:eastAsia="仿宋_GB2312" w:cs="仿宋_GB2312"/>
                <w:color w:val="000000" w:themeColor="text1"/>
                <w:sz w:val="24"/>
                <w:szCs w:val="24"/>
                <w14:textFill>
                  <w14:solidFill>
                    <w14:schemeClr w14:val="tx1"/>
                  </w14:solidFill>
                </w14:textFill>
              </w:rPr>
              <w:t>9.7%</w:t>
            </w:r>
          </w:p>
        </w:tc>
        <w:tc>
          <w:tcPr>
            <w:tcW w:w="1132"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r>
              <w:rPr>
                <w:rFonts w:ascii="仿宋_GB2312" w:hAnsi="仿宋_GB2312" w:eastAsia="仿宋_GB2312" w:cs="仿宋_GB2312"/>
                <w:color w:val="000000" w:themeColor="text1"/>
                <w:sz w:val="24"/>
                <w:szCs w:val="24"/>
                <w14:textFill>
                  <w14:solidFill>
                    <w14:schemeClr w14:val="tx1"/>
                  </w14:solidFill>
                </w14:textFill>
              </w:rPr>
              <w:t>296</w:t>
            </w:r>
          </w:p>
        </w:tc>
        <w:tc>
          <w:tcPr>
            <w:tcW w:w="1293"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w:t>
            </w:r>
            <w:r>
              <w:rPr>
                <w:rFonts w:ascii="仿宋_GB2312" w:hAnsi="仿宋_GB2312" w:eastAsia="仿宋_GB2312" w:cs="仿宋_GB2312"/>
                <w:color w:val="000000" w:themeColor="text1"/>
                <w:sz w:val="24"/>
                <w:szCs w:val="24"/>
                <w14:textFill>
                  <w14:solidFill>
                    <w14:schemeClr w14:val="tx1"/>
                  </w14:solidFill>
                </w14:textFill>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764" w:type="dxa"/>
            <w:gridSpan w:val="2"/>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公共基础课总学时</w:t>
            </w:r>
          </w:p>
        </w:tc>
        <w:tc>
          <w:tcPr>
            <w:tcW w:w="2409" w:type="dxa"/>
            <w:gridSpan w:val="2"/>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w:t>
            </w:r>
            <w:r>
              <w:rPr>
                <w:rFonts w:ascii="仿宋_GB2312" w:hAnsi="仿宋_GB2312" w:eastAsia="仿宋_GB2312" w:cs="仿宋_GB2312"/>
                <w:color w:val="000000" w:themeColor="text1"/>
                <w:sz w:val="24"/>
                <w:szCs w:val="24"/>
                <w14:textFill>
                  <w14:solidFill>
                    <w14:schemeClr w14:val="tx1"/>
                  </w14:solidFill>
                </w14:textFill>
              </w:rPr>
              <w:t>98</w:t>
            </w:r>
          </w:p>
        </w:tc>
        <w:tc>
          <w:tcPr>
            <w:tcW w:w="2266" w:type="dxa"/>
            <w:gridSpan w:val="2"/>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公共基础课学时比例</w:t>
            </w:r>
          </w:p>
        </w:tc>
        <w:tc>
          <w:tcPr>
            <w:tcW w:w="1293"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ascii="仿宋_GB2312" w:hAnsi="仿宋_GB2312" w:eastAsia="仿宋_GB2312" w:cs="仿宋_GB2312"/>
                <w:color w:val="000000" w:themeColor="text1"/>
                <w:sz w:val="24"/>
                <w:szCs w:val="24"/>
                <w14:textFill>
                  <w14:solidFill>
                    <w14:schemeClr w14:val="tx1"/>
                  </w14:solidFill>
                </w14:textFill>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764" w:type="dxa"/>
            <w:gridSpan w:val="2"/>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选修课教学总学时</w:t>
            </w:r>
          </w:p>
        </w:tc>
        <w:tc>
          <w:tcPr>
            <w:tcW w:w="2409" w:type="dxa"/>
            <w:gridSpan w:val="2"/>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r>
              <w:rPr>
                <w:rFonts w:ascii="仿宋_GB2312" w:hAnsi="仿宋_GB2312" w:eastAsia="仿宋_GB2312" w:cs="仿宋_GB2312"/>
                <w:color w:val="000000" w:themeColor="text1"/>
                <w:sz w:val="24"/>
                <w:szCs w:val="24"/>
                <w14:textFill>
                  <w14:solidFill>
                    <w14:schemeClr w14:val="tx1"/>
                  </w14:solidFill>
                </w14:textFill>
              </w:rPr>
              <w:t>52</w:t>
            </w:r>
          </w:p>
        </w:tc>
        <w:tc>
          <w:tcPr>
            <w:tcW w:w="2266" w:type="dxa"/>
            <w:gridSpan w:val="2"/>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选修课教学学时比例</w:t>
            </w:r>
          </w:p>
        </w:tc>
        <w:tc>
          <w:tcPr>
            <w:tcW w:w="1293"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ascii="仿宋_GB2312" w:hAnsi="仿宋_GB2312" w:eastAsia="仿宋_GB2312" w:cs="仿宋_GB2312"/>
                <w:color w:val="000000" w:themeColor="text1"/>
                <w:sz w:val="24"/>
                <w:szCs w:val="24"/>
                <w14:textFill>
                  <w14:solidFill>
                    <w14:schemeClr w14:val="tx1"/>
                  </w14:solidFill>
                </w14:textFill>
              </w:rPr>
              <w:t>0.3%</w:t>
            </w:r>
          </w:p>
        </w:tc>
      </w:tr>
    </w:tbl>
    <w:p>
      <w:pPr>
        <w:spacing w:line="360" w:lineRule="auto"/>
        <w:ind w:firstLine="422"/>
        <w:jc w:val="center"/>
        <w:rPr>
          <w:rFonts w:ascii="宋体" w:hAnsi="宋体"/>
          <w:b/>
          <w:color w:val="000000" w:themeColor="text1"/>
          <w14:textFill>
            <w14:solidFill>
              <w14:schemeClr w14:val="tx1"/>
            </w14:solidFill>
          </w14:textFill>
        </w:rPr>
        <w:sectPr>
          <w:footerReference r:id="rId3" w:type="default"/>
          <w:pgSz w:w="11906" w:h="16838"/>
          <w:pgMar w:top="2098" w:right="1474" w:bottom="1984" w:left="1587" w:header="851" w:footer="992" w:gutter="0"/>
          <w:cols w:space="720" w:num="1"/>
          <w:docGrid w:type="lines" w:linePitch="312" w:charSpace="0"/>
        </w:sectPr>
      </w:pPr>
    </w:p>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bookmarkStart w:id="39" w:name="_Toc22338"/>
      <w:r>
        <w:rPr>
          <w:rFonts w:hint="eastAsia" w:ascii="楷体_GB2312" w:hAnsi="楷体_GB2312" w:eastAsia="楷体_GB2312" w:cs="楷体_GB2312"/>
          <w:b w:val="0"/>
          <w:bCs/>
          <w:color w:val="000000" w:themeColor="text1"/>
          <w:sz w:val="28"/>
          <w:szCs w:val="28"/>
          <w14:textFill>
            <w14:solidFill>
              <w14:schemeClr w14:val="tx1"/>
            </w14:solidFill>
          </w14:textFill>
        </w:rPr>
        <w:t>（三）教学进度安排计划表----必修课程设置及学分、学时、进程表</w:t>
      </w:r>
      <w:bookmarkEnd w:id="39"/>
    </w:p>
    <w:tbl>
      <w:tblPr>
        <w:tblStyle w:val="28"/>
        <w:tblW w:w="14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475"/>
        <w:gridCol w:w="535"/>
        <w:gridCol w:w="1346"/>
        <w:gridCol w:w="2135"/>
        <w:gridCol w:w="693"/>
        <w:gridCol w:w="433"/>
        <w:gridCol w:w="708"/>
        <w:gridCol w:w="709"/>
        <w:gridCol w:w="494"/>
        <w:gridCol w:w="640"/>
        <w:gridCol w:w="465"/>
        <w:gridCol w:w="583"/>
        <w:gridCol w:w="583"/>
        <w:gridCol w:w="583"/>
        <w:gridCol w:w="583"/>
        <w:gridCol w:w="588"/>
        <w:gridCol w:w="386"/>
        <w:gridCol w:w="1061"/>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blHeader/>
          <w:jc w:val="center"/>
        </w:trPr>
        <w:tc>
          <w:tcPr>
            <w:tcW w:w="949" w:type="dxa"/>
            <w:gridSpan w:val="2"/>
            <w:vMerge w:val="restart"/>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课程</w:t>
            </w:r>
          </w:p>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类别</w:t>
            </w:r>
          </w:p>
        </w:tc>
        <w:tc>
          <w:tcPr>
            <w:tcW w:w="535" w:type="dxa"/>
            <w:vMerge w:val="restart"/>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序号</w:t>
            </w:r>
          </w:p>
        </w:tc>
        <w:tc>
          <w:tcPr>
            <w:tcW w:w="1346" w:type="dxa"/>
            <w:vMerge w:val="restart"/>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课程代码</w:t>
            </w:r>
          </w:p>
        </w:tc>
        <w:tc>
          <w:tcPr>
            <w:tcW w:w="2135" w:type="dxa"/>
            <w:vMerge w:val="restart"/>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课程名称</w:t>
            </w:r>
          </w:p>
        </w:tc>
        <w:tc>
          <w:tcPr>
            <w:tcW w:w="1126" w:type="dxa"/>
            <w:gridSpan w:val="2"/>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课程性质</w:t>
            </w:r>
          </w:p>
        </w:tc>
        <w:tc>
          <w:tcPr>
            <w:tcW w:w="708" w:type="dxa"/>
            <w:vMerge w:val="restart"/>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学分</w:t>
            </w:r>
          </w:p>
        </w:tc>
        <w:tc>
          <w:tcPr>
            <w:tcW w:w="1843" w:type="dxa"/>
            <w:gridSpan w:val="3"/>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教学课时</w:t>
            </w:r>
          </w:p>
        </w:tc>
        <w:tc>
          <w:tcPr>
            <w:tcW w:w="3385" w:type="dxa"/>
            <w:gridSpan w:val="6"/>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教学进程(学期、教学活动周数</w:t>
            </w:r>
          </w:p>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课堂教学周数）</w:t>
            </w:r>
          </w:p>
        </w:tc>
        <w:tc>
          <w:tcPr>
            <w:tcW w:w="386" w:type="dxa"/>
            <w:vMerge w:val="restart"/>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课程</w:t>
            </w:r>
          </w:p>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考核</w:t>
            </w:r>
          </w:p>
        </w:tc>
        <w:tc>
          <w:tcPr>
            <w:tcW w:w="1061" w:type="dxa"/>
            <w:vMerge w:val="restart"/>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开课</w:t>
            </w:r>
          </w:p>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部门</w:t>
            </w:r>
          </w:p>
        </w:tc>
        <w:tc>
          <w:tcPr>
            <w:tcW w:w="1312" w:type="dxa"/>
            <w:vMerge w:val="restart"/>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jc w:val="center"/>
        </w:trPr>
        <w:tc>
          <w:tcPr>
            <w:tcW w:w="949" w:type="dxa"/>
            <w:gridSpan w:val="2"/>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1346"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213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693" w:type="dxa"/>
            <w:vMerge w:val="restart"/>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课程</w:t>
            </w:r>
          </w:p>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类型(A/B</w:t>
            </w:r>
          </w:p>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433" w:type="dxa"/>
            <w:vMerge w:val="restart"/>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是否</w:t>
            </w:r>
          </w:p>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理实</w:t>
            </w:r>
          </w:p>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一体</w:t>
            </w:r>
          </w:p>
        </w:tc>
        <w:tc>
          <w:tcPr>
            <w:tcW w:w="708"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709" w:type="dxa"/>
            <w:vMerge w:val="restart"/>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总计</w:t>
            </w:r>
          </w:p>
        </w:tc>
        <w:tc>
          <w:tcPr>
            <w:tcW w:w="494" w:type="dxa"/>
            <w:vMerge w:val="restart"/>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理论</w:t>
            </w:r>
          </w:p>
        </w:tc>
        <w:tc>
          <w:tcPr>
            <w:tcW w:w="640" w:type="dxa"/>
            <w:vMerge w:val="restart"/>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实践</w:t>
            </w:r>
          </w:p>
        </w:tc>
        <w:tc>
          <w:tcPr>
            <w:tcW w:w="465"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1学期</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2学期</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3学期</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4学期</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5学期</w:t>
            </w:r>
          </w:p>
        </w:tc>
        <w:tc>
          <w:tcPr>
            <w:tcW w:w="588"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6学期</w:t>
            </w:r>
          </w:p>
        </w:tc>
        <w:tc>
          <w:tcPr>
            <w:tcW w:w="386"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1061"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1312"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blHeader/>
          <w:jc w:val="center"/>
        </w:trPr>
        <w:tc>
          <w:tcPr>
            <w:tcW w:w="949" w:type="dxa"/>
            <w:gridSpan w:val="2"/>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1346"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213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693"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33"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708"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709"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9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640"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65"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20</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20</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20</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20</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20</w:t>
            </w:r>
          </w:p>
        </w:tc>
        <w:tc>
          <w:tcPr>
            <w:tcW w:w="588" w:type="dxa"/>
            <w:vAlign w:val="center"/>
          </w:tcPr>
          <w:p>
            <w:pPr>
              <w:widowControl/>
              <w:jc w:val="center"/>
              <w:textAlignment w:val="center"/>
              <w:rPr>
                <w:rFonts w:ascii="楷体_GB2312" w:hAnsi="楷体_GB2312" w:eastAsia="宋体" w:cs="楷体_GB2312"/>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26</w:t>
            </w:r>
          </w:p>
        </w:tc>
        <w:tc>
          <w:tcPr>
            <w:tcW w:w="386"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1061"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1312"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949" w:type="dxa"/>
            <w:gridSpan w:val="2"/>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1346"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213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693"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33"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708"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709"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9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640"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65"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16</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18</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18</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18</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18</w:t>
            </w:r>
          </w:p>
        </w:tc>
        <w:tc>
          <w:tcPr>
            <w:tcW w:w="588"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26</w:t>
            </w:r>
          </w:p>
        </w:tc>
        <w:tc>
          <w:tcPr>
            <w:tcW w:w="386"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1061"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1312"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restart"/>
            <w:textDirection w:val="tbRlV"/>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公    共    基    础    课</w:t>
            </w:r>
          </w:p>
        </w:tc>
        <w:tc>
          <w:tcPr>
            <w:tcW w:w="475" w:type="dxa"/>
            <w:vMerge w:val="restart"/>
            <w:textDirection w:val="tbRlV"/>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公    共    必    修    课</w:t>
            </w: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1</w:t>
            </w:r>
          </w:p>
        </w:tc>
        <w:tc>
          <w:tcPr>
            <w:tcW w:w="1346"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bidi="ar"/>
              </w:rPr>
              <w:t>14501184001</w:t>
            </w:r>
          </w:p>
        </w:tc>
        <w:tc>
          <w:tcPr>
            <w:tcW w:w="21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形势与政策I</w:t>
            </w:r>
          </w:p>
        </w:tc>
        <w:tc>
          <w:tcPr>
            <w:tcW w:w="69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43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70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0.25</w:t>
            </w:r>
          </w:p>
        </w:tc>
        <w:tc>
          <w:tcPr>
            <w:tcW w:w="709"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w:t>
            </w:r>
          </w:p>
        </w:tc>
        <w:tc>
          <w:tcPr>
            <w:tcW w:w="494"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w:t>
            </w:r>
          </w:p>
        </w:tc>
        <w:tc>
          <w:tcPr>
            <w:tcW w:w="640"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46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马克思主义教学部</w:t>
            </w:r>
          </w:p>
        </w:tc>
        <w:tc>
          <w:tcPr>
            <w:tcW w:w="1312"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每学期以专题讲座形式开展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2</w:t>
            </w:r>
          </w:p>
        </w:tc>
        <w:tc>
          <w:tcPr>
            <w:tcW w:w="1346"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bidi="ar"/>
              </w:rPr>
              <w:t>14501184002</w:t>
            </w:r>
          </w:p>
        </w:tc>
        <w:tc>
          <w:tcPr>
            <w:tcW w:w="21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形势与政策II</w:t>
            </w:r>
          </w:p>
        </w:tc>
        <w:tc>
          <w:tcPr>
            <w:tcW w:w="69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43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70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0.25</w:t>
            </w:r>
          </w:p>
        </w:tc>
        <w:tc>
          <w:tcPr>
            <w:tcW w:w="709"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w:t>
            </w:r>
          </w:p>
        </w:tc>
        <w:tc>
          <w:tcPr>
            <w:tcW w:w="494"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w:t>
            </w:r>
          </w:p>
        </w:tc>
        <w:tc>
          <w:tcPr>
            <w:tcW w:w="640"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46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马克思主义教学部</w:t>
            </w:r>
          </w:p>
        </w:tc>
        <w:tc>
          <w:tcPr>
            <w:tcW w:w="1312"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每学期以专题讲座形式开展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3</w:t>
            </w:r>
          </w:p>
        </w:tc>
        <w:tc>
          <w:tcPr>
            <w:tcW w:w="1346"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bidi="ar"/>
              </w:rPr>
              <w:t>14501184003</w:t>
            </w:r>
          </w:p>
        </w:tc>
        <w:tc>
          <w:tcPr>
            <w:tcW w:w="21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形势与政策III</w:t>
            </w:r>
          </w:p>
        </w:tc>
        <w:tc>
          <w:tcPr>
            <w:tcW w:w="69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43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70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0.25</w:t>
            </w:r>
          </w:p>
        </w:tc>
        <w:tc>
          <w:tcPr>
            <w:tcW w:w="709"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w:t>
            </w:r>
          </w:p>
        </w:tc>
        <w:tc>
          <w:tcPr>
            <w:tcW w:w="494"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w:t>
            </w:r>
          </w:p>
        </w:tc>
        <w:tc>
          <w:tcPr>
            <w:tcW w:w="640"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46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马克思主义教学部</w:t>
            </w:r>
          </w:p>
        </w:tc>
        <w:tc>
          <w:tcPr>
            <w:tcW w:w="1312"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每学期以专题讲座形式开展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4</w:t>
            </w:r>
          </w:p>
        </w:tc>
        <w:tc>
          <w:tcPr>
            <w:tcW w:w="1346"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bidi="ar"/>
              </w:rPr>
              <w:t>14501184004</w:t>
            </w:r>
          </w:p>
        </w:tc>
        <w:tc>
          <w:tcPr>
            <w:tcW w:w="21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形势与政策IV</w:t>
            </w:r>
          </w:p>
        </w:tc>
        <w:tc>
          <w:tcPr>
            <w:tcW w:w="69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43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70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0.25</w:t>
            </w:r>
          </w:p>
        </w:tc>
        <w:tc>
          <w:tcPr>
            <w:tcW w:w="709"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w:t>
            </w:r>
          </w:p>
        </w:tc>
        <w:tc>
          <w:tcPr>
            <w:tcW w:w="494"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w:t>
            </w:r>
          </w:p>
        </w:tc>
        <w:tc>
          <w:tcPr>
            <w:tcW w:w="640"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46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马克思主义教学部</w:t>
            </w:r>
          </w:p>
        </w:tc>
        <w:tc>
          <w:tcPr>
            <w:tcW w:w="1312"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每学期以专题讲座形式开展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5</w:t>
            </w:r>
          </w:p>
        </w:tc>
        <w:tc>
          <w:tcPr>
            <w:tcW w:w="1346"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14501184005</w:t>
            </w:r>
          </w:p>
        </w:tc>
        <w:tc>
          <w:tcPr>
            <w:tcW w:w="213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形势与政策（专题）</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43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70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0.25</w:t>
            </w:r>
          </w:p>
        </w:tc>
        <w:tc>
          <w:tcPr>
            <w:tcW w:w="70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w:t>
            </w:r>
          </w:p>
        </w:tc>
        <w:tc>
          <w:tcPr>
            <w:tcW w:w="494"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w:t>
            </w:r>
          </w:p>
        </w:tc>
        <w:tc>
          <w:tcPr>
            <w:tcW w:w="640"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46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马克思主义教学部</w:t>
            </w:r>
          </w:p>
        </w:tc>
        <w:tc>
          <w:tcPr>
            <w:tcW w:w="1312"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每学期以专题讲座形式开展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6</w:t>
            </w:r>
          </w:p>
        </w:tc>
        <w:tc>
          <w:tcPr>
            <w:tcW w:w="1346"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bidi="ar"/>
              </w:rPr>
              <w:t>14501184006</w:t>
            </w:r>
          </w:p>
        </w:tc>
        <w:tc>
          <w:tcPr>
            <w:tcW w:w="2135"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军训Ⅱ</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43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70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70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90</w:t>
            </w:r>
          </w:p>
        </w:tc>
        <w:tc>
          <w:tcPr>
            <w:tcW w:w="494"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640"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90</w:t>
            </w:r>
          </w:p>
        </w:tc>
        <w:tc>
          <w:tcPr>
            <w:tcW w:w="46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C</w:t>
            </w:r>
          </w:p>
        </w:tc>
        <w:tc>
          <w:tcPr>
            <w:tcW w:w="1061"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学生</w:t>
            </w:r>
          </w:p>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工作处</w:t>
            </w:r>
          </w:p>
        </w:tc>
        <w:tc>
          <w:tcPr>
            <w:tcW w:w="131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7</w:t>
            </w:r>
          </w:p>
        </w:tc>
        <w:tc>
          <w:tcPr>
            <w:tcW w:w="1346"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bidi="ar"/>
              </w:rPr>
              <w:t>14501184007</w:t>
            </w:r>
          </w:p>
        </w:tc>
        <w:tc>
          <w:tcPr>
            <w:tcW w:w="213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军事理论</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43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70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70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16</w:t>
            </w:r>
          </w:p>
        </w:tc>
        <w:tc>
          <w:tcPr>
            <w:tcW w:w="494"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16</w:t>
            </w:r>
          </w:p>
        </w:tc>
        <w:tc>
          <w:tcPr>
            <w:tcW w:w="640"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46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E</w:t>
            </w:r>
          </w:p>
        </w:tc>
        <w:tc>
          <w:tcPr>
            <w:tcW w:w="1061"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学生</w:t>
            </w:r>
          </w:p>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工作处</w:t>
            </w:r>
          </w:p>
        </w:tc>
        <w:tc>
          <w:tcPr>
            <w:tcW w:w="131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8</w:t>
            </w:r>
          </w:p>
        </w:tc>
        <w:tc>
          <w:tcPr>
            <w:tcW w:w="1346"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bidi="ar"/>
              </w:rPr>
              <w:t>14501184008</w:t>
            </w:r>
          </w:p>
        </w:tc>
        <w:tc>
          <w:tcPr>
            <w:tcW w:w="213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劳动教育</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43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70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70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16</w:t>
            </w:r>
          </w:p>
        </w:tc>
        <w:tc>
          <w:tcPr>
            <w:tcW w:w="494"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16</w:t>
            </w:r>
          </w:p>
        </w:tc>
        <w:tc>
          <w:tcPr>
            <w:tcW w:w="640"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46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E</w:t>
            </w:r>
          </w:p>
        </w:tc>
        <w:tc>
          <w:tcPr>
            <w:tcW w:w="1061"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学生</w:t>
            </w:r>
          </w:p>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工作处</w:t>
            </w:r>
          </w:p>
        </w:tc>
        <w:tc>
          <w:tcPr>
            <w:tcW w:w="1312" w:type="dxa"/>
            <w:vAlign w:val="center"/>
          </w:tcPr>
          <w:p>
            <w:pPr>
              <w:widowControl/>
              <w:jc w:val="center"/>
              <w:textAlignment w:val="center"/>
              <w:rPr>
                <w:rFonts w:ascii="宋体" w:hAnsi="宋体" w:eastAsia="宋体" w:cs="宋体"/>
                <w:color w:val="000000" w:themeColor="text1"/>
                <w:kern w:val="0"/>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9</w:t>
            </w:r>
          </w:p>
        </w:tc>
        <w:tc>
          <w:tcPr>
            <w:tcW w:w="1346"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bidi="ar"/>
              </w:rPr>
              <w:t>14501184009</w:t>
            </w:r>
          </w:p>
        </w:tc>
        <w:tc>
          <w:tcPr>
            <w:tcW w:w="213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思想道德与法治</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B</w:t>
            </w:r>
          </w:p>
        </w:tc>
        <w:tc>
          <w:tcPr>
            <w:tcW w:w="43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70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p>
        </w:tc>
        <w:tc>
          <w:tcPr>
            <w:tcW w:w="70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32</w:t>
            </w:r>
          </w:p>
        </w:tc>
        <w:tc>
          <w:tcPr>
            <w:tcW w:w="494"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32</w:t>
            </w:r>
          </w:p>
        </w:tc>
        <w:tc>
          <w:tcPr>
            <w:tcW w:w="640"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46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B</w:t>
            </w:r>
          </w:p>
        </w:tc>
        <w:tc>
          <w:tcPr>
            <w:tcW w:w="1061"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马克思主义教学部</w:t>
            </w:r>
          </w:p>
        </w:tc>
        <w:tc>
          <w:tcPr>
            <w:tcW w:w="131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w:t>
            </w:r>
          </w:p>
        </w:tc>
        <w:tc>
          <w:tcPr>
            <w:tcW w:w="134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kern w:val="0"/>
                <w:sz w:val="18"/>
                <w:szCs w:val="18"/>
                <w:lang w:bidi="ar"/>
              </w:rPr>
              <w:t>14501184010</w:t>
            </w:r>
          </w:p>
        </w:tc>
        <w:tc>
          <w:tcPr>
            <w:tcW w:w="213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思想政治理论课</w:t>
            </w:r>
          </w:p>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实践教学</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C</w:t>
            </w:r>
          </w:p>
        </w:tc>
        <w:tc>
          <w:tcPr>
            <w:tcW w:w="43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70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70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16</w:t>
            </w:r>
          </w:p>
        </w:tc>
        <w:tc>
          <w:tcPr>
            <w:tcW w:w="494"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640"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16</w:t>
            </w:r>
          </w:p>
        </w:tc>
        <w:tc>
          <w:tcPr>
            <w:tcW w:w="46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C</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马克思主义教学部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11</w:t>
            </w:r>
          </w:p>
        </w:tc>
        <w:tc>
          <w:tcPr>
            <w:tcW w:w="134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kern w:val="0"/>
                <w:sz w:val="18"/>
                <w:szCs w:val="18"/>
                <w:lang w:bidi="ar"/>
              </w:rPr>
              <w:t>14501184011</w:t>
            </w:r>
          </w:p>
        </w:tc>
        <w:tc>
          <w:tcPr>
            <w:tcW w:w="213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铸牢中华民族</w:t>
            </w:r>
          </w:p>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共同体意识</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B</w:t>
            </w:r>
          </w:p>
        </w:tc>
        <w:tc>
          <w:tcPr>
            <w:tcW w:w="43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70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70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16</w:t>
            </w:r>
          </w:p>
        </w:tc>
        <w:tc>
          <w:tcPr>
            <w:tcW w:w="494"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16</w:t>
            </w:r>
          </w:p>
        </w:tc>
        <w:tc>
          <w:tcPr>
            <w:tcW w:w="640"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46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马克思主义教学部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restart"/>
            <w:textDirection w:val="tbRlV"/>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公    共    基    础    课</w:t>
            </w:r>
          </w:p>
        </w:tc>
        <w:tc>
          <w:tcPr>
            <w:tcW w:w="475" w:type="dxa"/>
            <w:vMerge w:val="restart"/>
            <w:textDirection w:val="tbRlV"/>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公    共    必    修    课</w:t>
            </w:r>
          </w:p>
        </w:tc>
        <w:tc>
          <w:tcPr>
            <w:tcW w:w="535" w:type="dxa"/>
            <w:vAlign w:val="bottom"/>
          </w:tcPr>
          <w:p>
            <w:pPr>
              <w:pStyle w:val="84"/>
              <w:outlineLvl w:val="1"/>
              <w:rPr>
                <w:rFonts w:ascii="楷体_GB2312" w:hAnsi="楷体_GB2312" w:eastAsia="楷体_GB2312" w:cs="楷体_GB2312"/>
                <w:b w:val="0"/>
                <w:bCs/>
                <w:color w:val="000000" w:themeColor="text1"/>
                <w:sz w:val="21"/>
                <w:szCs w:val="21"/>
                <w14:textFill>
                  <w14:solidFill>
                    <w14:schemeClr w14:val="tx1"/>
                  </w14:solidFill>
                </w14:textFill>
              </w:rPr>
            </w:pPr>
            <w:r>
              <w:rPr>
                <w:rFonts w:hint="eastAsia" w:cs="宋体"/>
                <w:b w:val="0"/>
                <w:bCs/>
                <w:color w:val="000000"/>
                <w:kern w:val="0"/>
                <w:sz w:val="21"/>
                <w:szCs w:val="21"/>
                <w:lang w:bidi="ar"/>
              </w:rPr>
              <w:t>12</w:t>
            </w:r>
          </w:p>
        </w:tc>
        <w:tc>
          <w:tcPr>
            <w:tcW w:w="134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kern w:val="0"/>
                <w:sz w:val="18"/>
                <w:szCs w:val="18"/>
                <w:lang w:bidi="ar"/>
              </w:rPr>
              <w:t>14501184012</w:t>
            </w:r>
          </w:p>
        </w:tc>
        <w:tc>
          <w:tcPr>
            <w:tcW w:w="2135"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习近平新时代中国特色社会主义思想概论</w:t>
            </w:r>
          </w:p>
        </w:tc>
        <w:tc>
          <w:tcPr>
            <w:tcW w:w="69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B</w:t>
            </w:r>
          </w:p>
        </w:tc>
        <w:tc>
          <w:tcPr>
            <w:tcW w:w="43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708"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w:t>
            </w:r>
          </w:p>
        </w:tc>
        <w:tc>
          <w:tcPr>
            <w:tcW w:w="709"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48</w:t>
            </w:r>
          </w:p>
        </w:tc>
        <w:tc>
          <w:tcPr>
            <w:tcW w:w="494"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48</w:t>
            </w:r>
          </w:p>
        </w:tc>
        <w:tc>
          <w:tcPr>
            <w:tcW w:w="640"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465"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8"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386"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B</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马克思主义教学部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13</w:t>
            </w:r>
          </w:p>
        </w:tc>
        <w:tc>
          <w:tcPr>
            <w:tcW w:w="134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kern w:val="0"/>
                <w:sz w:val="18"/>
                <w:szCs w:val="18"/>
                <w:lang w:bidi="ar"/>
              </w:rPr>
              <w:t>14501184013</w:t>
            </w:r>
          </w:p>
        </w:tc>
        <w:tc>
          <w:tcPr>
            <w:tcW w:w="2135"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毛泽东思想和中国特色社会主义理论体系概论</w:t>
            </w:r>
          </w:p>
        </w:tc>
        <w:tc>
          <w:tcPr>
            <w:tcW w:w="69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B</w:t>
            </w:r>
          </w:p>
        </w:tc>
        <w:tc>
          <w:tcPr>
            <w:tcW w:w="43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708"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p>
        </w:tc>
        <w:tc>
          <w:tcPr>
            <w:tcW w:w="709"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32</w:t>
            </w:r>
          </w:p>
        </w:tc>
        <w:tc>
          <w:tcPr>
            <w:tcW w:w="494"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32</w:t>
            </w:r>
          </w:p>
        </w:tc>
        <w:tc>
          <w:tcPr>
            <w:tcW w:w="640"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465"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8"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386"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B</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马克思主义教学部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14</w:t>
            </w:r>
          </w:p>
        </w:tc>
        <w:tc>
          <w:tcPr>
            <w:tcW w:w="134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kern w:val="0"/>
                <w:sz w:val="18"/>
                <w:szCs w:val="18"/>
                <w:lang w:bidi="ar"/>
              </w:rPr>
              <w:t>14501184014</w:t>
            </w:r>
          </w:p>
        </w:tc>
        <w:tc>
          <w:tcPr>
            <w:tcW w:w="2135"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职业发展与就业指导</w:t>
            </w:r>
          </w:p>
        </w:tc>
        <w:tc>
          <w:tcPr>
            <w:tcW w:w="69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43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708"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709"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494"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14</w:t>
            </w:r>
          </w:p>
        </w:tc>
        <w:tc>
          <w:tcPr>
            <w:tcW w:w="640"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p>
        </w:tc>
        <w:tc>
          <w:tcPr>
            <w:tcW w:w="465"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8"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386"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15</w:t>
            </w:r>
          </w:p>
        </w:tc>
        <w:tc>
          <w:tcPr>
            <w:tcW w:w="1346"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bidi="ar"/>
              </w:rPr>
              <w:t>14501184015</w:t>
            </w:r>
          </w:p>
        </w:tc>
        <w:tc>
          <w:tcPr>
            <w:tcW w:w="2135"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高职英语Ⅰ</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43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70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p>
        </w:tc>
        <w:tc>
          <w:tcPr>
            <w:tcW w:w="70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32</w:t>
            </w:r>
          </w:p>
        </w:tc>
        <w:tc>
          <w:tcPr>
            <w:tcW w:w="494"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20</w:t>
            </w:r>
          </w:p>
        </w:tc>
        <w:tc>
          <w:tcPr>
            <w:tcW w:w="640"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12</w:t>
            </w:r>
          </w:p>
        </w:tc>
        <w:tc>
          <w:tcPr>
            <w:tcW w:w="46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1061"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16</w:t>
            </w:r>
          </w:p>
        </w:tc>
        <w:tc>
          <w:tcPr>
            <w:tcW w:w="1346"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bidi="ar"/>
              </w:rPr>
              <w:t>14501184016</w:t>
            </w:r>
          </w:p>
        </w:tc>
        <w:tc>
          <w:tcPr>
            <w:tcW w:w="2135"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高职英语Ⅱ</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43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70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p>
        </w:tc>
        <w:tc>
          <w:tcPr>
            <w:tcW w:w="70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32</w:t>
            </w:r>
          </w:p>
        </w:tc>
        <w:tc>
          <w:tcPr>
            <w:tcW w:w="494"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20</w:t>
            </w:r>
          </w:p>
        </w:tc>
        <w:tc>
          <w:tcPr>
            <w:tcW w:w="640"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12</w:t>
            </w:r>
          </w:p>
        </w:tc>
        <w:tc>
          <w:tcPr>
            <w:tcW w:w="46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1061"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17</w:t>
            </w:r>
          </w:p>
        </w:tc>
        <w:tc>
          <w:tcPr>
            <w:tcW w:w="1346"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bidi="ar"/>
              </w:rPr>
              <w:t>14501184017</w:t>
            </w:r>
          </w:p>
        </w:tc>
        <w:tc>
          <w:tcPr>
            <w:tcW w:w="2135"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信息技术Ⅰ（高职）</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43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70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p>
        </w:tc>
        <w:tc>
          <w:tcPr>
            <w:tcW w:w="70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32</w:t>
            </w:r>
          </w:p>
        </w:tc>
        <w:tc>
          <w:tcPr>
            <w:tcW w:w="494"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p>
        </w:tc>
        <w:tc>
          <w:tcPr>
            <w:tcW w:w="640"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30</w:t>
            </w:r>
          </w:p>
        </w:tc>
        <w:tc>
          <w:tcPr>
            <w:tcW w:w="46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1061"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18</w:t>
            </w:r>
          </w:p>
        </w:tc>
        <w:tc>
          <w:tcPr>
            <w:tcW w:w="1346"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bidi="ar"/>
              </w:rPr>
              <w:t>14501184018</w:t>
            </w:r>
          </w:p>
        </w:tc>
        <w:tc>
          <w:tcPr>
            <w:tcW w:w="2135"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信息技术Ⅱ（高职）</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43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70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p>
        </w:tc>
        <w:tc>
          <w:tcPr>
            <w:tcW w:w="70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32</w:t>
            </w:r>
          </w:p>
        </w:tc>
        <w:tc>
          <w:tcPr>
            <w:tcW w:w="494"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p>
        </w:tc>
        <w:tc>
          <w:tcPr>
            <w:tcW w:w="640"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30</w:t>
            </w:r>
          </w:p>
        </w:tc>
        <w:tc>
          <w:tcPr>
            <w:tcW w:w="46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1061"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19</w:t>
            </w:r>
          </w:p>
        </w:tc>
        <w:tc>
          <w:tcPr>
            <w:tcW w:w="1346"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bidi="ar"/>
              </w:rPr>
              <w:t>14501184019</w:t>
            </w:r>
          </w:p>
        </w:tc>
        <w:tc>
          <w:tcPr>
            <w:tcW w:w="213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高职实用语文</w:t>
            </w:r>
            <w:r>
              <w:rPr>
                <w:rFonts w:hint="eastAsia" w:ascii="宋体" w:hAnsi="宋体" w:eastAsia="宋体" w:cs="宋体"/>
                <w:bCs/>
                <w:color w:val="000000" w:themeColor="text1"/>
                <w:kern w:val="0"/>
                <w:szCs w:val="21"/>
                <w14:textFill>
                  <w14:solidFill>
                    <w14:schemeClr w14:val="tx1"/>
                  </w14:solidFill>
                </w14:textFill>
              </w:rPr>
              <w:t>Ⅰ</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43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70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p>
        </w:tc>
        <w:tc>
          <w:tcPr>
            <w:tcW w:w="70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32</w:t>
            </w:r>
          </w:p>
        </w:tc>
        <w:tc>
          <w:tcPr>
            <w:tcW w:w="494"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32</w:t>
            </w:r>
          </w:p>
        </w:tc>
        <w:tc>
          <w:tcPr>
            <w:tcW w:w="640"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46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386"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1061"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20</w:t>
            </w:r>
          </w:p>
        </w:tc>
        <w:tc>
          <w:tcPr>
            <w:tcW w:w="1346"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bidi="ar"/>
              </w:rPr>
              <w:t>14501184020</w:t>
            </w:r>
          </w:p>
        </w:tc>
        <w:tc>
          <w:tcPr>
            <w:tcW w:w="2135"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高职实用语文</w:t>
            </w:r>
            <w:r>
              <w:rPr>
                <w:rFonts w:hint="eastAsia" w:ascii="宋体" w:hAnsi="宋体" w:eastAsia="宋体" w:cs="宋体"/>
                <w:bCs/>
                <w:color w:val="000000" w:themeColor="text1"/>
                <w:kern w:val="0"/>
                <w:szCs w:val="21"/>
                <w14:textFill>
                  <w14:solidFill>
                    <w14:schemeClr w14:val="tx1"/>
                  </w14:solidFill>
                </w14:textFill>
              </w:rPr>
              <w:t>Ⅱ</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43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70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p>
        </w:tc>
        <w:tc>
          <w:tcPr>
            <w:tcW w:w="70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32</w:t>
            </w:r>
          </w:p>
        </w:tc>
        <w:tc>
          <w:tcPr>
            <w:tcW w:w="494"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32</w:t>
            </w:r>
          </w:p>
        </w:tc>
        <w:tc>
          <w:tcPr>
            <w:tcW w:w="640"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46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1061"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21</w:t>
            </w:r>
          </w:p>
        </w:tc>
        <w:tc>
          <w:tcPr>
            <w:tcW w:w="1346"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bidi="ar"/>
              </w:rPr>
              <w:t>14501184021</w:t>
            </w:r>
          </w:p>
        </w:tc>
        <w:tc>
          <w:tcPr>
            <w:tcW w:w="21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体育与健康Ⅰ</w:t>
            </w:r>
          </w:p>
        </w:tc>
        <w:tc>
          <w:tcPr>
            <w:tcW w:w="69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43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70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p>
        </w:tc>
        <w:tc>
          <w:tcPr>
            <w:tcW w:w="709"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32</w:t>
            </w:r>
          </w:p>
        </w:tc>
        <w:tc>
          <w:tcPr>
            <w:tcW w:w="494"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p>
        </w:tc>
        <w:tc>
          <w:tcPr>
            <w:tcW w:w="640"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30</w:t>
            </w:r>
          </w:p>
        </w:tc>
        <w:tc>
          <w:tcPr>
            <w:tcW w:w="46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1061"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22</w:t>
            </w:r>
          </w:p>
        </w:tc>
        <w:tc>
          <w:tcPr>
            <w:tcW w:w="1346"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bidi="ar"/>
              </w:rPr>
              <w:t>14501184022</w:t>
            </w:r>
          </w:p>
        </w:tc>
        <w:tc>
          <w:tcPr>
            <w:tcW w:w="2135"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体育与健康Ⅱ</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43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70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p>
        </w:tc>
        <w:tc>
          <w:tcPr>
            <w:tcW w:w="709"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32</w:t>
            </w:r>
          </w:p>
        </w:tc>
        <w:tc>
          <w:tcPr>
            <w:tcW w:w="494"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p>
        </w:tc>
        <w:tc>
          <w:tcPr>
            <w:tcW w:w="640"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30</w:t>
            </w:r>
          </w:p>
        </w:tc>
        <w:tc>
          <w:tcPr>
            <w:tcW w:w="46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1061"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23</w:t>
            </w:r>
          </w:p>
        </w:tc>
        <w:tc>
          <w:tcPr>
            <w:tcW w:w="1346"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bidi="ar"/>
              </w:rPr>
              <w:t>14501184023</w:t>
            </w:r>
          </w:p>
        </w:tc>
        <w:tc>
          <w:tcPr>
            <w:tcW w:w="213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高职数学</w:t>
            </w:r>
            <w:r>
              <w:rPr>
                <w:rFonts w:hint="eastAsia" w:ascii="宋体" w:hAnsi="宋体" w:eastAsia="宋体" w:cs="宋体"/>
                <w:bCs/>
                <w:color w:val="000000" w:themeColor="text1"/>
                <w:kern w:val="0"/>
                <w:szCs w:val="21"/>
                <w14:textFill>
                  <w14:solidFill>
                    <w14:schemeClr w14:val="tx1"/>
                  </w14:solidFill>
                </w14:textFill>
              </w:rPr>
              <w:t>Ⅰ</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43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70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p>
        </w:tc>
        <w:tc>
          <w:tcPr>
            <w:tcW w:w="70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32</w:t>
            </w:r>
          </w:p>
        </w:tc>
        <w:tc>
          <w:tcPr>
            <w:tcW w:w="494"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32</w:t>
            </w:r>
          </w:p>
        </w:tc>
        <w:tc>
          <w:tcPr>
            <w:tcW w:w="640"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46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386"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1061"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理科限选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restart"/>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color w:val="000000" w:themeColor="text1"/>
                <w:kern w:val="0"/>
                <w:sz w:val="21"/>
                <w:szCs w:val="21"/>
                <w14:textFill>
                  <w14:solidFill>
                    <w14:schemeClr w14:val="tx1"/>
                  </w14:solidFill>
                </w14:textFill>
              </w:rPr>
              <w:t>公    共    基    础    课</w:t>
            </w:r>
          </w:p>
        </w:tc>
        <w:tc>
          <w:tcPr>
            <w:tcW w:w="475" w:type="dxa"/>
            <w:vMerge w:val="restart"/>
            <w:vAlign w:val="center"/>
          </w:tcPr>
          <w:p>
            <w:pPr>
              <w:pStyle w:val="84"/>
              <w:outlineLvl w:val="1"/>
              <w:rPr>
                <w:rFonts w:ascii="楷体_GB2312" w:hAnsi="楷体_GB2312" w:eastAsia="楷体_GB2312" w:cs="楷体_GB2312"/>
                <w:b w:val="0"/>
                <w:bCs/>
                <w:color w:val="000000" w:themeColor="text1"/>
                <w:sz w:val="21"/>
                <w:szCs w:val="21"/>
                <w14:textFill>
                  <w14:solidFill>
                    <w14:schemeClr w14:val="tx1"/>
                  </w14:solidFill>
                </w14:textFill>
              </w:rPr>
            </w:pPr>
            <w:r>
              <w:rPr>
                <w:rFonts w:hint="eastAsia" w:cs="宋体"/>
                <w:b w:val="0"/>
                <w:bCs/>
                <w:color w:val="000000"/>
                <w:kern w:val="0"/>
                <w:sz w:val="21"/>
                <w:szCs w:val="21"/>
                <w:lang w:bidi="ar"/>
              </w:rPr>
              <w:t>公共必修课</w:t>
            </w: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24</w:t>
            </w:r>
          </w:p>
        </w:tc>
        <w:tc>
          <w:tcPr>
            <w:tcW w:w="1346"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bidi="ar"/>
              </w:rPr>
              <w:t>14501184024</w:t>
            </w:r>
          </w:p>
        </w:tc>
        <w:tc>
          <w:tcPr>
            <w:tcW w:w="2135"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高职数学</w:t>
            </w:r>
            <w:r>
              <w:rPr>
                <w:rFonts w:hint="eastAsia" w:ascii="宋体" w:hAnsi="宋体" w:eastAsia="宋体" w:cs="宋体"/>
                <w:bCs/>
                <w:color w:val="000000" w:themeColor="text1"/>
                <w:kern w:val="0"/>
                <w:szCs w:val="21"/>
                <w14:textFill>
                  <w14:solidFill>
                    <w14:schemeClr w14:val="tx1"/>
                  </w14:solidFill>
                </w14:textFill>
              </w:rPr>
              <w:t>Ⅱ</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43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70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p>
        </w:tc>
        <w:tc>
          <w:tcPr>
            <w:tcW w:w="70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32</w:t>
            </w:r>
          </w:p>
        </w:tc>
        <w:tc>
          <w:tcPr>
            <w:tcW w:w="494"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32</w:t>
            </w:r>
          </w:p>
        </w:tc>
        <w:tc>
          <w:tcPr>
            <w:tcW w:w="640"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46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1061"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理科限选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25</w:t>
            </w:r>
          </w:p>
        </w:tc>
        <w:tc>
          <w:tcPr>
            <w:tcW w:w="1346"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bidi="ar"/>
              </w:rPr>
              <w:t>14501184025</w:t>
            </w:r>
          </w:p>
        </w:tc>
        <w:tc>
          <w:tcPr>
            <w:tcW w:w="213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心理健康教育</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B</w:t>
            </w:r>
          </w:p>
        </w:tc>
        <w:tc>
          <w:tcPr>
            <w:tcW w:w="43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70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p>
        </w:tc>
        <w:tc>
          <w:tcPr>
            <w:tcW w:w="70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32</w:t>
            </w:r>
          </w:p>
        </w:tc>
        <w:tc>
          <w:tcPr>
            <w:tcW w:w="494"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28</w:t>
            </w:r>
          </w:p>
        </w:tc>
        <w:tc>
          <w:tcPr>
            <w:tcW w:w="640"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w:t>
            </w:r>
          </w:p>
        </w:tc>
        <w:tc>
          <w:tcPr>
            <w:tcW w:w="46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学生</w:t>
            </w:r>
          </w:p>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工作处</w:t>
            </w:r>
          </w:p>
        </w:tc>
        <w:tc>
          <w:tcPr>
            <w:tcW w:w="131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kern w:val="0"/>
                <w:szCs w:val="21"/>
                <w:lang w:bidi="ar"/>
              </w:rPr>
              <w:t>26</w:t>
            </w:r>
          </w:p>
        </w:tc>
        <w:tc>
          <w:tcPr>
            <w:tcW w:w="1346"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bidi="ar"/>
              </w:rPr>
              <w:t>14501184026</w:t>
            </w:r>
          </w:p>
        </w:tc>
        <w:tc>
          <w:tcPr>
            <w:tcW w:w="21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大学生安全教育</w:t>
            </w:r>
          </w:p>
        </w:tc>
        <w:tc>
          <w:tcPr>
            <w:tcW w:w="69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43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70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709"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494"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8</w:t>
            </w:r>
          </w:p>
        </w:tc>
        <w:tc>
          <w:tcPr>
            <w:tcW w:w="640"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8</w:t>
            </w:r>
          </w:p>
        </w:tc>
        <w:tc>
          <w:tcPr>
            <w:tcW w:w="46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kern w:val="0"/>
                <w:szCs w:val="21"/>
                <w:lang w:bidi="ar"/>
              </w:rPr>
              <w:t>27</w:t>
            </w:r>
          </w:p>
        </w:tc>
        <w:tc>
          <w:tcPr>
            <w:tcW w:w="1346"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bidi="ar"/>
              </w:rPr>
              <w:t>14501184027</w:t>
            </w:r>
          </w:p>
        </w:tc>
        <w:tc>
          <w:tcPr>
            <w:tcW w:w="213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创新与创业教育</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B</w:t>
            </w:r>
          </w:p>
        </w:tc>
        <w:tc>
          <w:tcPr>
            <w:tcW w:w="43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70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p>
        </w:tc>
        <w:tc>
          <w:tcPr>
            <w:tcW w:w="70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32</w:t>
            </w:r>
          </w:p>
        </w:tc>
        <w:tc>
          <w:tcPr>
            <w:tcW w:w="494"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24</w:t>
            </w:r>
          </w:p>
        </w:tc>
        <w:tc>
          <w:tcPr>
            <w:tcW w:w="640"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46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617" w:type="dxa"/>
            <w:gridSpan w:val="6"/>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公共必修课小计</w:t>
            </w:r>
          </w:p>
        </w:tc>
        <w:tc>
          <w:tcPr>
            <w:tcW w:w="708"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42</w:t>
            </w:r>
          </w:p>
        </w:tc>
        <w:tc>
          <w:tcPr>
            <w:tcW w:w="709" w:type="dxa"/>
            <w:tcFitText/>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spacing w:val="81"/>
                <w:w w:val="99"/>
                <w:kern w:val="0"/>
                <w:szCs w:val="21"/>
                <w14:textFill>
                  <w14:solidFill>
                    <w14:schemeClr w14:val="tx1"/>
                  </w14:solidFill>
                </w14:textFill>
              </w:rPr>
              <w:t>70</w:t>
            </w:r>
            <w:r>
              <w:rPr>
                <w:rFonts w:hint="eastAsia" w:ascii="宋体" w:hAnsi="宋体" w:eastAsia="宋体" w:cs="宋体"/>
                <w:bCs/>
                <w:color w:val="000000" w:themeColor="text1"/>
                <w:spacing w:val="1"/>
                <w:w w:val="99"/>
                <w:kern w:val="0"/>
                <w:szCs w:val="21"/>
                <w14:textFill>
                  <w14:solidFill>
                    <w14:schemeClr w14:val="tx1"/>
                  </w14:solidFill>
                </w14:textFill>
              </w:rPr>
              <w:t>2</w:t>
            </w:r>
          </w:p>
        </w:tc>
        <w:tc>
          <w:tcPr>
            <w:tcW w:w="494" w:type="dxa"/>
            <w:tcFitText/>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spacing w:val="72"/>
                <w:w w:val="36"/>
                <w:kern w:val="0"/>
                <w:szCs w:val="21"/>
                <w14:textFill>
                  <w14:solidFill>
                    <w14:schemeClr w14:val="tx1"/>
                  </w14:solidFill>
                </w14:textFill>
              </w:rPr>
              <w:t>43</w:t>
            </w:r>
            <w:r>
              <w:rPr>
                <w:rFonts w:hint="eastAsia" w:ascii="宋体" w:hAnsi="宋体" w:eastAsia="宋体" w:cs="宋体"/>
                <w:bCs/>
                <w:color w:val="000000" w:themeColor="text1"/>
                <w:spacing w:val="1"/>
                <w:w w:val="36"/>
                <w:kern w:val="0"/>
                <w:szCs w:val="21"/>
                <w14:textFill>
                  <w14:solidFill>
                    <w14:schemeClr w14:val="tx1"/>
                  </w14:solidFill>
                </w14:textFill>
              </w:rPr>
              <w:t>0</w:t>
            </w:r>
          </w:p>
        </w:tc>
        <w:tc>
          <w:tcPr>
            <w:tcW w:w="640" w:type="dxa"/>
            <w:tcFitText/>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spacing w:val="55"/>
                <w:w w:val="93"/>
                <w:kern w:val="0"/>
                <w:szCs w:val="21"/>
                <w14:textFill>
                  <w14:solidFill>
                    <w14:schemeClr w14:val="tx1"/>
                  </w14:solidFill>
                </w14:textFill>
              </w:rPr>
              <w:t>27</w:t>
            </w:r>
            <w:r>
              <w:rPr>
                <w:rFonts w:hint="eastAsia" w:ascii="宋体" w:hAnsi="宋体" w:eastAsia="宋体" w:cs="宋体"/>
                <w:bCs/>
                <w:color w:val="000000" w:themeColor="text1"/>
                <w:spacing w:val="2"/>
                <w:w w:val="93"/>
                <w:kern w:val="0"/>
                <w:szCs w:val="21"/>
                <w14:textFill>
                  <w14:solidFill>
                    <w14:schemeClr w14:val="tx1"/>
                  </w14:solidFill>
                </w14:textFill>
              </w:rPr>
              <w:t>2</w:t>
            </w:r>
          </w:p>
        </w:tc>
        <w:tc>
          <w:tcPr>
            <w:tcW w:w="46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18</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14</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386" w:type="dxa"/>
            <w:tcFitText/>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1061"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restart"/>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bCs/>
                <w:color w:val="000000" w:themeColor="text1"/>
                <w:sz w:val="21"/>
                <w:szCs w:val="21"/>
                <w14:textFill>
                  <w14:solidFill>
                    <w14:schemeClr w14:val="tx1"/>
                  </w14:solidFill>
                </w14:textFill>
              </w:rPr>
              <w:t>公共选修课</w:t>
            </w: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1</w:t>
            </w:r>
          </w:p>
        </w:tc>
        <w:tc>
          <w:tcPr>
            <w:tcW w:w="1346"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14501185001</w:t>
            </w:r>
          </w:p>
        </w:tc>
        <w:tc>
          <w:tcPr>
            <w:tcW w:w="2135"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党史</w:t>
            </w:r>
          </w:p>
        </w:tc>
        <w:tc>
          <w:tcPr>
            <w:tcW w:w="69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43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708"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0.5</w:t>
            </w:r>
          </w:p>
        </w:tc>
        <w:tc>
          <w:tcPr>
            <w:tcW w:w="709"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494"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640"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465"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8"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386"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马克思主义教学部</w:t>
            </w:r>
          </w:p>
        </w:tc>
        <w:tc>
          <w:tcPr>
            <w:tcW w:w="1312" w:type="dxa"/>
            <w:vMerge w:val="restart"/>
            <w:vAlign w:val="center"/>
          </w:tcPr>
          <w:p>
            <w:pPr>
              <w:pStyle w:val="84"/>
              <w:jc w:val="left"/>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bCs/>
                <w:color w:val="000000" w:themeColor="text1"/>
                <w:kern w:val="0"/>
                <w:sz w:val="21"/>
                <w:szCs w:val="21"/>
                <w14:textFill>
                  <w14:solidFill>
                    <w14:schemeClr w14:val="tx1"/>
                  </w14:solidFill>
                </w14:textFill>
              </w:rPr>
              <w:t>“四史”教育任选其一，上课为4周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2</w:t>
            </w:r>
          </w:p>
        </w:tc>
        <w:tc>
          <w:tcPr>
            <w:tcW w:w="1346"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14501185002</w:t>
            </w:r>
          </w:p>
        </w:tc>
        <w:tc>
          <w:tcPr>
            <w:tcW w:w="2135"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新中国史</w:t>
            </w:r>
          </w:p>
        </w:tc>
        <w:tc>
          <w:tcPr>
            <w:tcW w:w="69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43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708"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0.5</w:t>
            </w:r>
          </w:p>
        </w:tc>
        <w:tc>
          <w:tcPr>
            <w:tcW w:w="709"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494"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640"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465"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8"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386"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马克思主义教学部</w:t>
            </w:r>
          </w:p>
        </w:tc>
        <w:tc>
          <w:tcPr>
            <w:tcW w:w="1312"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3</w:t>
            </w:r>
          </w:p>
        </w:tc>
        <w:tc>
          <w:tcPr>
            <w:tcW w:w="1346"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14501185003</w:t>
            </w:r>
          </w:p>
        </w:tc>
        <w:tc>
          <w:tcPr>
            <w:tcW w:w="2135"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改革开放史</w:t>
            </w:r>
          </w:p>
        </w:tc>
        <w:tc>
          <w:tcPr>
            <w:tcW w:w="69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43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708"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0.5</w:t>
            </w:r>
          </w:p>
        </w:tc>
        <w:tc>
          <w:tcPr>
            <w:tcW w:w="709"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494"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640"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465"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8"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386"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马克思主义教学部</w:t>
            </w:r>
          </w:p>
        </w:tc>
        <w:tc>
          <w:tcPr>
            <w:tcW w:w="1312"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4</w:t>
            </w:r>
          </w:p>
        </w:tc>
        <w:tc>
          <w:tcPr>
            <w:tcW w:w="1346"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14501185004</w:t>
            </w:r>
          </w:p>
        </w:tc>
        <w:tc>
          <w:tcPr>
            <w:tcW w:w="2135"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社会主义发展史</w:t>
            </w:r>
          </w:p>
        </w:tc>
        <w:tc>
          <w:tcPr>
            <w:tcW w:w="69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43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708"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0.5</w:t>
            </w:r>
          </w:p>
        </w:tc>
        <w:tc>
          <w:tcPr>
            <w:tcW w:w="709"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494"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640"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465"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8"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386"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马克思主义教学部</w:t>
            </w:r>
          </w:p>
        </w:tc>
        <w:tc>
          <w:tcPr>
            <w:tcW w:w="1312"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5</w:t>
            </w:r>
          </w:p>
        </w:tc>
        <w:tc>
          <w:tcPr>
            <w:tcW w:w="1346"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14501185005</w:t>
            </w:r>
          </w:p>
        </w:tc>
        <w:tc>
          <w:tcPr>
            <w:tcW w:w="21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急救与自救（网）</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43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70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0.5</w:t>
            </w:r>
          </w:p>
        </w:tc>
        <w:tc>
          <w:tcPr>
            <w:tcW w:w="709"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494"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640"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465"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Merge w:val="restart"/>
            <w:vAlign w:val="center"/>
          </w:tcPr>
          <w:p>
            <w:pPr>
              <w:widowControl/>
              <w:jc w:val="left"/>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限选课程，在线学习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6</w:t>
            </w:r>
          </w:p>
        </w:tc>
        <w:tc>
          <w:tcPr>
            <w:tcW w:w="1346"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14501185006</w:t>
            </w:r>
          </w:p>
        </w:tc>
        <w:tc>
          <w:tcPr>
            <w:tcW w:w="2135"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中华优秀传统文化（网）</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43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70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0.5</w:t>
            </w:r>
          </w:p>
        </w:tc>
        <w:tc>
          <w:tcPr>
            <w:tcW w:w="709"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494"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640"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465"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Merge w:val="continue"/>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7</w:t>
            </w:r>
          </w:p>
        </w:tc>
        <w:tc>
          <w:tcPr>
            <w:tcW w:w="1346"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14501185007</w:t>
            </w:r>
          </w:p>
        </w:tc>
        <w:tc>
          <w:tcPr>
            <w:tcW w:w="213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大学生劳动就业法律问题解读（网）</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43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70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0.5</w:t>
            </w:r>
          </w:p>
        </w:tc>
        <w:tc>
          <w:tcPr>
            <w:tcW w:w="70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494"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640"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465"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Merge w:val="continue"/>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restart"/>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color w:val="000000" w:themeColor="text1"/>
                <w:kern w:val="0"/>
                <w:sz w:val="21"/>
                <w:szCs w:val="21"/>
                <w14:textFill>
                  <w14:solidFill>
                    <w14:schemeClr w14:val="tx1"/>
                  </w14:solidFill>
                </w14:textFill>
              </w:rPr>
              <w:t>公    共    基    础    课</w:t>
            </w:r>
          </w:p>
        </w:tc>
        <w:tc>
          <w:tcPr>
            <w:tcW w:w="475" w:type="dxa"/>
            <w:vMerge w:val="restart"/>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bCs/>
                <w:color w:val="000000" w:themeColor="text1"/>
                <w:sz w:val="21"/>
                <w:szCs w:val="21"/>
                <w14:textFill>
                  <w14:solidFill>
                    <w14:schemeClr w14:val="tx1"/>
                  </w14:solidFill>
                </w14:textFill>
              </w:rPr>
              <w:t>公共选修课</w:t>
            </w: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8</w:t>
            </w:r>
          </w:p>
        </w:tc>
        <w:tc>
          <w:tcPr>
            <w:tcW w:w="1346"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14501185008</w:t>
            </w:r>
          </w:p>
        </w:tc>
        <w:tc>
          <w:tcPr>
            <w:tcW w:w="21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国防安全教育</w:t>
            </w:r>
          </w:p>
        </w:tc>
        <w:tc>
          <w:tcPr>
            <w:tcW w:w="69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43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70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709"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494"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640"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465"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9</w:t>
            </w:r>
          </w:p>
        </w:tc>
        <w:tc>
          <w:tcPr>
            <w:tcW w:w="1346"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14501185009</w:t>
            </w:r>
          </w:p>
        </w:tc>
        <w:tc>
          <w:tcPr>
            <w:tcW w:w="21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节能减排</w:t>
            </w:r>
          </w:p>
        </w:tc>
        <w:tc>
          <w:tcPr>
            <w:tcW w:w="69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43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70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709"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494"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640"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465"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w:t>
            </w:r>
          </w:p>
        </w:tc>
        <w:tc>
          <w:tcPr>
            <w:tcW w:w="1346"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14501185010</w:t>
            </w:r>
          </w:p>
        </w:tc>
        <w:tc>
          <w:tcPr>
            <w:tcW w:w="213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应用文写作</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43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70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70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16</w:t>
            </w:r>
          </w:p>
        </w:tc>
        <w:tc>
          <w:tcPr>
            <w:tcW w:w="494"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16</w:t>
            </w:r>
          </w:p>
        </w:tc>
        <w:tc>
          <w:tcPr>
            <w:tcW w:w="640"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465"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11</w:t>
            </w:r>
          </w:p>
        </w:tc>
        <w:tc>
          <w:tcPr>
            <w:tcW w:w="1346"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14501185011</w:t>
            </w:r>
          </w:p>
        </w:tc>
        <w:tc>
          <w:tcPr>
            <w:tcW w:w="21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唐诗宋词鉴赏</w:t>
            </w:r>
          </w:p>
        </w:tc>
        <w:tc>
          <w:tcPr>
            <w:tcW w:w="69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43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70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709"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494"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640"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465"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bottom"/>
          </w:tcPr>
          <w:p>
            <w:pPr>
              <w:pStyle w:val="84"/>
              <w:outlineLvl w:val="1"/>
              <w:rPr>
                <w:rFonts w:ascii="楷体_GB2312" w:hAnsi="楷体_GB2312" w:eastAsia="楷体_GB2312" w:cs="楷体_GB2312"/>
                <w:b w:val="0"/>
                <w:bCs/>
                <w:color w:val="000000" w:themeColor="text1"/>
                <w:sz w:val="21"/>
                <w:szCs w:val="21"/>
                <w14:textFill>
                  <w14:solidFill>
                    <w14:schemeClr w14:val="tx1"/>
                  </w14:solidFill>
                </w14:textFill>
              </w:rPr>
            </w:pPr>
            <w:r>
              <w:rPr>
                <w:rFonts w:hint="eastAsia" w:cs="宋体"/>
                <w:b w:val="0"/>
                <w:bCs/>
                <w:color w:val="000000"/>
                <w:kern w:val="0"/>
                <w:sz w:val="21"/>
                <w:szCs w:val="21"/>
                <w:lang w:bidi="ar"/>
              </w:rPr>
              <w:t>12</w:t>
            </w:r>
          </w:p>
        </w:tc>
        <w:tc>
          <w:tcPr>
            <w:tcW w:w="1346"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14501185012</w:t>
            </w:r>
          </w:p>
        </w:tc>
        <w:tc>
          <w:tcPr>
            <w:tcW w:w="21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礼仪素养</w:t>
            </w:r>
          </w:p>
        </w:tc>
        <w:tc>
          <w:tcPr>
            <w:tcW w:w="69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43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70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709"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494"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640"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465"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13</w:t>
            </w:r>
          </w:p>
        </w:tc>
        <w:tc>
          <w:tcPr>
            <w:tcW w:w="1346"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14501185013</w:t>
            </w:r>
          </w:p>
        </w:tc>
        <w:tc>
          <w:tcPr>
            <w:tcW w:w="2135"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普通话</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43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70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70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494"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8</w:t>
            </w:r>
          </w:p>
        </w:tc>
        <w:tc>
          <w:tcPr>
            <w:tcW w:w="640"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8</w:t>
            </w:r>
          </w:p>
        </w:tc>
        <w:tc>
          <w:tcPr>
            <w:tcW w:w="465"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C</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14</w:t>
            </w:r>
          </w:p>
        </w:tc>
        <w:tc>
          <w:tcPr>
            <w:tcW w:w="1346"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14501185014</w:t>
            </w:r>
          </w:p>
        </w:tc>
        <w:tc>
          <w:tcPr>
            <w:tcW w:w="213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社交礼仪</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43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70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70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494"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640"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465"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15</w:t>
            </w:r>
          </w:p>
        </w:tc>
        <w:tc>
          <w:tcPr>
            <w:tcW w:w="1346"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14501185015</w:t>
            </w:r>
          </w:p>
        </w:tc>
        <w:tc>
          <w:tcPr>
            <w:tcW w:w="213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市场营销</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43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70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70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494"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640"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465"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16</w:t>
            </w:r>
          </w:p>
        </w:tc>
        <w:tc>
          <w:tcPr>
            <w:tcW w:w="1346"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14501185016</w:t>
            </w:r>
          </w:p>
        </w:tc>
        <w:tc>
          <w:tcPr>
            <w:tcW w:w="213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高职数学（拓展）</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43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70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70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494"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640"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465"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17</w:t>
            </w:r>
          </w:p>
        </w:tc>
        <w:tc>
          <w:tcPr>
            <w:tcW w:w="1346"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14501185017</w:t>
            </w:r>
          </w:p>
        </w:tc>
        <w:tc>
          <w:tcPr>
            <w:tcW w:w="213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高职实用语文（拓展）</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43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70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70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494"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640"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465"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18</w:t>
            </w:r>
          </w:p>
        </w:tc>
        <w:tc>
          <w:tcPr>
            <w:tcW w:w="1346"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14501185018</w:t>
            </w:r>
          </w:p>
        </w:tc>
        <w:tc>
          <w:tcPr>
            <w:tcW w:w="213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高职英语（拓展）</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43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70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709"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494"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640"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465"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bCs/>
                <w:color w:val="000000"/>
                <w:kern w:val="0"/>
                <w:sz w:val="21"/>
                <w:szCs w:val="21"/>
                <w:lang w:bidi="ar"/>
              </w:rPr>
              <w:t>19</w:t>
            </w:r>
          </w:p>
        </w:tc>
        <w:tc>
          <w:tcPr>
            <w:tcW w:w="1346"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14501185019</w:t>
            </w:r>
          </w:p>
        </w:tc>
        <w:tc>
          <w:tcPr>
            <w:tcW w:w="213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信息技术（拓展）</w:t>
            </w:r>
          </w:p>
        </w:tc>
        <w:tc>
          <w:tcPr>
            <w:tcW w:w="69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43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70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709"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494"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640"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465"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restart"/>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color w:val="000000" w:themeColor="text1"/>
                <w:kern w:val="0"/>
                <w:sz w:val="21"/>
                <w:szCs w:val="21"/>
                <w14:textFill>
                  <w14:solidFill>
                    <w14:schemeClr w14:val="tx1"/>
                  </w14:solidFill>
                </w14:textFill>
              </w:rPr>
              <w:t>公    共    基    础    课</w:t>
            </w:r>
          </w:p>
        </w:tc>
        <w:tc>
          <w:tcPr>
            <w:tcW w:w="475" w:type="dxa"/>
            <w:vMerge w:val="restart"/>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bCs/>
                <w:color w:val="000000" w:themeColor="text1"/>
                <w:sz w:val="21"/>
                <w:szCs w:val="21"/>
                <w14:textFill>
                  <w14:solidFill>
                    <w14:schemeClr w14:val="tx1"/>
                  </w14:solidFill>
                </w14:textFill>
              </w:rPr>
              <w:t>公共选修课</w:t>
            </w: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20</w:t>
            </w:r>
          </w:p>
        </w:tc>
        <w:tc>
          <w:tcPr>
            <w:tcW w:w="1346"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14501185020</w:t>
            </w:r>
          </w:p>
        </w:tc>
        <w:tc>
          <w:tcPr>
            <w:tcW w:w="213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思想政治理论（拓展）</w:t>
            </w:r>
          </w:p>
        </w:tc>
        <w:tc>
          <w:tcPr>
            <w:tcW w:w="69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43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70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709"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494"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640"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465"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21</w:t>
            </w:r>
          </w:p>
        </w:tc>
        <w:tc>
          <w:tcPr>
            <w:tcW w:w="1346"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14501185021</w:t>
            </w:r>
          </w:p>
        </w:tc>
        <w:tc>
          <w:tcPr>
            <w:tcW w:w="213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音乐欣赏</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43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70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70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494"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640"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465"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C</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Merge w:val="restart"/>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bCs/>
                <w:color w:val="000000" w:themeColor="text1"/>
                <w:kern w:val="0"/>
                <w:sz w:val="21"/>
                <w:szCs w:val="21"/>
                <w14:textFill>
                  <w14:solidFill>
                    <w14:schemeClr w14:val="tx1"/>
                  </w14:solidFill>
                </w14:textFill>
              </w:rPr>
              <w:t>美育类课程至少选一门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22</w:t>
            </w:r>
          </w:p>
        </w:tc>
        <w:tc>
          <w:tcPr>
            <w:tcW w:w="1346"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14501185022</w:t>
            </w:r>
          </w:p>
        </w:tc>
        <w:tc>
          <w:tcPr>
            <w:tcW w:w="213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书画艺术欣赏</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43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70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709"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494"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640"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465"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23</w:t>
            </w:r>
          </w:p>
        </w:tc>
        <w:tc>
          <w:tcPr>
            <w:tcW w:w="1346"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14501185023</w:t>
            </w:r>
          </w:p>
        </w:tc>
        <w:tc>
          <w:tcPr>
            <w:tcW w:w="213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舞蹈</w:t>
            </w:r>
          </w:p>
        </w:tc>
        <w:tc>
          <w:tcPr>
            <w:tcW w:w="693"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433"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708"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70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494"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640"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465"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24</w:t>
            </w:r>
          </w:p>
        </w:tc>
        <w:tc>
          <w:tcPr>
            <w:tcW w:w="1346"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14501185024</w:t>
            </w:r>
          </w:p>
        </w:tc>
        <w:tc>
          <w:tcPr>
            <w:tcW w:w="2135"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书法</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43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70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70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494"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640"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465"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25</w:t>
            </w:r>
          </w:p>
        </w:tc>
        <w:tc>
          <w:tcPr>
            <w:tcW w:w="1346"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14501185025</w:t>
            </w:r>
          </w:p>
        </w:tc>
        <w:tc>
          <w:tcPr>
            <w:tcW w:w="213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体育（足球）</w:t>
            </w:r>
          </w:p>
        </w:tc>
        <w:tc>
          <w:tcPr>
            <w:tcW w:w="693"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433"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708"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70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494"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640"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465"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Merge w:val="restart"/>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bCs/>
                <w:color w:val="000000" w:themeColor="text1"/>
                <w:kern w:val="0"/>
                <w:sz w:val="21"/>
                <w:szCs w:val="21"/>
                <w14:textFill>
                  <w14:solidFill>
                    <w14:schemeClr w14:val="tx1"/>
                  </w14:solidFill>
                </w14:textFill>
              </w:rPr>
              <w:t>体育类课程至少选一门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26</w:t>
            </w:r>
          </w:p>
        </w:tc>
        <w:tc>
          <w:tcPr>
            <w:tcW w:w="1346"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14501185026</w:t>
            </w:r>
          </w:p>
        </w:tc>
        <w:tc>
          <w:tcPr>
            <w:tcW w:w="213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体育（篮球）</w:t>
            </w:r>
          </w:p>
        </w:tc>
        <w:tc>
          <w:tcPr>
            <w:tcW w:w="693"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433"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708"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70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494"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640"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465"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27</w:t>
            </w:r>
          </w:p>
        </w:tc>
        <w:tc>
          <w:tcPr>
            <w:tcW w:w="1346"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14501185027</w:t>
            </w:r>
          </w:p>
        </w:tc>
        <w:tc>
          <w:tcPr>
            <w:tcW w:w="213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体育（羽毛球）</w:t>
            </w:r>
          </w:p>
        </w:tc>
        <w:tc>
          <w:tcPr>
            <w:tcW w:w="693"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433"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708"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70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494"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640"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465"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kern w:val="0"/>
                <w:szCs w:val="21"/>
                <w:lang w:bidi="ar"/>
              </w:rPr>
              <w:t>28</w:t>
            </w:r>
          </w:p>
        </w:tc>
        <w:tc>
          <w:tcPr>
            <w:tcW w:w="1346"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14501185028</w:t>
            </w:r>
          </w:p>
        </w:tc>
        <w:tc>
          <w:tcPr>
            <w:tcW w:w="213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体育（乒乓球）</w:t>
            </w:r>
          </w:p>
        </w:tc>
        <w:tc>
          <w:tcPr>
            <w:tcW w:w="693"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433"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708"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70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494"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640"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465"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kern w:val="0"/>
                <w:szCs w:val="21"/>
                <w:lang w:bidi="ar"/>
              </w:rPr>
              <w:t>29</w:t>
            </w:r>
          </w:p>
        </w:tc>
        <w:tc>
          <w:tcPr>
            <w:tcW w:w="1346"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14501185029</w:t>
            </w:r>
          </w:p>
        </w:tc>
        <w:tc>
          <w:tcPr>
            <w:tcW w:w="213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体育（排球）</w:t>
            </w:r>
          </w:p>
        </w:tc>
        <w:tc>
          <w:tcPr>
            <w:tcW w:w="693"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433"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708"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70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494"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640"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465"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kern w:val="0"/>
                <w:szCs w:val="21"/>
                <w:lang w:bidi="ar"/>
              </w:rPr>
              <w:t>30</w:t>
            </w:r>
          </w:p>
        </w:tc>
        <w:tc>
          <w:tcPr>
            <w:tcW w:w="1346" w:type="dxa"/>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14501185030</w:t>
            </w:r>
          </w:p>
        </w:tc>
        <w:tc>
          <w:tcPr>
            <w:tcW w:w="2135"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健美操</w:t>
            </w:r>
          </w:p>
        </w:tc>
        <w:tc>
          <w:tcPr>
            <w:tcW w:w="693"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433"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708"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70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494"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640"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465"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617" w:type="dxa"/>
            <w:gridSpan w:val="6"/>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公共选修课小计</w:t>
            </w:r>
          </w:p>
        </w:tc>
        <w:tc>
          <w:tcPr>
            <w:tcW w:w="70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6</w:t>
            </w:r>
          </w:p>
        </w:tc>
        <w:tc>
          <w:tcPr>
            <w:tcW w:w="70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96</w:t>
            </w:r>
          </w:p>
        </w:tc>
        <w:tc>
          <w:tcPr>
            <w:tcW w:w="494"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64</w:t>
            </w:r>
          </w:p>
        </w:tc>
        <w:tc>
          <w:tcPr>
            <w:tcW w:w="640"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32</w:t>
            </w:r>
          </w:p>
        </w:tc>
        <w:tc>
          <w:tcPr>
            <w:tcW w:w="465"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1.5</w:t>
            </w:r>
          </w:p>
        </w:tc>
        <w:tc>
          <w:tcPr>
            <w:tcW w:w="58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1.5</w:t>
            </w:r>
          </w:p>
        </w:tc>
        <w:tc>
          <w:tcPr>
            <w:tcW w:w="58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p>
        </w:tc>
        <w:tc>
          <w:tcPr>
            <w:tcW w:w="58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8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1061"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restart"/>
            <w:textDirection w:val="tbLrV"/>
            <w:vAlign w:val="center"/>
          </w:tcPr>
          <w:p>
            <w:pPr>
              <w:pStyle w:val="84"/>
              <w:ind w:left="113" w:right="113"/>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color w:val="000000" w:themeColor="text1"/>
                <w:kern w:val="0"/>
                <w:sz w:val="21"/>
                <w:szCs w:val="21"/>
                <w14:textFill>
                  <w14:solidFill>
                    <w14:schemeClr w14:val="tx1"/>
                  </w14:solidFill>
                </w14:textFill>
              </w:rPr>
              <w:t>专  业 （技  能） 课</w:t>
            </w:r>
          </w:p>
        </w:tc>
        <w:tc>
          <w:tcPr>
            <w:tcW w:w="475" w:type="dxa"/>
            <w:vMerge w:val="restart"/>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color w:val="000000" w:themeColor="text1"/>
                <w:kern w:val="0"/>
                <w:sz w:val="21"/>
                <w:szCs w:val="21"/>
                <w14:textFill>
                  <w14:solidFill>
                    <w14:schemeClr w14:val="tx1"/>
                  </w14:solidFill>
                </w14:textFill>
              </w:rPr>
              <w:t>专业必修   课</w:t>
            </w: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1</w:t>
            </w:r>
          </w:p>
        </w:tc>
        <w:tc>
          <w:tcPr>
            <w:tcW w:w="1346" w:type="dxa"/>
          </w:tcPr>
          <w:p>
            <w:pPr>
              <w:jc w:val="center"/>
              <w:outlineLvl w:val="1"/>
              <w:rPr>
                <w:rFonts w:ascii="宋体" w:hAnsi="宋体" w:eastAsia="宋体" w:cs="宋体"/>
                <w:color w:val="000000"/>
                <w:kern w:val="0"/>
                <w:sz w:val="18"/>
                <w:szCs w:val="18"/>
                <w:lang w:bidi="ar"/>
              </w:rPr>
            </w:pPr>
          </w:p>
          <w:p>
            <w:pPr>
              <w:jc w:val="center"/>
              <w:outlineLvl w:val="1"/>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r>
              <w:rPr>
                <w:rFonts w:ascii="宋体" w:hAnsi="宋体" w:eastAsia="宋体" w:cs="宋体"/>
                <w:color w:val="000000"/>
                <w:kern w:val="0"/>
                <w:sz w:val="18"/>
                <w:szCs w:val="18"/>
                <w:lang w:bidi="ar"/>
              </w:rPr>
              <w:t>4501151000</w:t>
            </w:r>
          </w:p>
          <w:p>
            <w:pPr>
              <w:jc w:val="center"/>
              <w:outlineLvl w:val="1"/>
              <w:rPr>
                <w:rFonts w:ascii="宋体" w:hAnsi="宋体" w:eastAsia="宋体" w:cs="宋体"/>
                <w:color w:val="000000"/>
                <w:kern w:val="0"/>
                <w:sz w:val="18"/>
                <w:szCs w:val="18"/>
                <w:lang w:bidi="ar"/>
              </w:rPr>
            </w:pPr>
          </w:p>
        </w:tc>
        <w:tc>
          <w:tcPr>
            <w:tcW w:w="2135"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电工电子技术与技能</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433" w:type="dxa"/>
            <w:vAlign w:val="center"/>
          </w:tcPr>
          <w:p>
            <w:pP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是</w:t>
            </w:r>
          </w:p>
        </w:tc>
        <w:tc>
          <w:tcPr>
            <w:tcW w:w="70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w:t>
            </w:r>
          </w:p>
        </w:tc>
        <w:tc>
          <w:tcPr>
            <w:tcW w:w="70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6</w:t>
            </w:r>
            <w:r>
              <w:rPr>
                <w:rFonts w:ascii="宋体" w:hAnsi="宋体" w:eastAsia="宋体" w:cs="宋体"/>
                <w:bCs/>
                <w:color w:val="000000" w:themeColor="text1"/>
                <w:kern w:val="0"/>
                <w:szCs w:val="21"/>
                <w14:textFill>
                  <w14:solidFill>
                    <w14:schemeClr w14:val="tx1"/>
                  </w14:solidFill>
                </w14:textFill>
              </w:rPr>
              <w:t>4</w:t>
            </w:r>
          </w:p>
        </w:tc>
        <w:tc>
          <w:tcPr>
            <w:tcW w:w="494"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w:t>
            </w:r>
            <w:r>
              <w:rPr>
                <w:rFonts w:ascii="宋体" w:hAnsi="宋体" w:eastAsia="宋体" w:cs="宋体"/>
                <w:bCs/>
                <w:color w:val="000000" w:themeColor="text1"/>
                <w:kern w:val="0"/>
                <w:szCs w:val="21"/>
                <w14:textFill>
                  <w14:solidFill>
                    <w14:schemeClr w14:val="tx1"/>
                  </w14:solidFill>
                </w14:textFill>
              </w:rPr>
              <w:t>2</w:t>
            </w:r>
          </w:p>
        </w:tc>
        <w:tc>
          <w:tcPr>
            <w:tcW w:w="640"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w:t>
            </w:r>
            <w:r>
              <w:rPr>
                <w:rFonts w:ascii="宋体" w:hAnsi="宋体" w:eastAsia="宋体" w:cs="宋体"/>
                <w:bCs/>
                <w:color w:val="000000" w:themeColor="text1"/>
                <w:kern w:val="0"/>
                <w:szCs w:val="21"/>
                <w14:textFill>
                  <w14:solidFill>
                    <w14:schemeClr w14:val="tx1"/>
                  </w14:solidFill>
                </w14:textFill>
              </w:rPr>
              <w:t>2</w:t>
            </w:r>
          </w:p>
        </w:tc>
        <w:tc>
          <w:tcPr>
            <w:tcW w:w="465"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14:textFill>
                  <w14:solidFill>
                    <w14:schemeClr w14:val="tx1"/>
                  </w14:solidFill>
                </w14:textFill>
              </w:rPr>
              <w:t>√</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14:textFill>
                  <w14:solidFill>
                    <w14:schemeClr w14:val="tx1"/>
                  </w14:solidFill>
                </w14:textFill>
              </w:rPr>
              <w:t>C</w:t>
            </w:r>
          </w:p>
        </w:tc>
        <w:tc>
          <w:tcPr>
            <w:tcW w:w="1061"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14:textFill>
                  <w14:solidFill>
                    <w14:schemeClr w14:val="tx1"/>
                  </w14:solidFill>
                </w14:textFill>
              </w:rPr>
              <w:t>机电系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cs="宋体"/>
                <w:b w:val="0"/>
                <w:color w:val="000000" w:themeColor="text1"/>
                <w:kern w:val="0"/>
                <w:sz w:val="21"/>
                <w:szCs w:val="21"/>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2</w:t>
            </w:r>
          </w:p>
        </w:tc>
        <w:tc>
          <w:tcPr>
            <w:tcW w:w="1346" w:type="dxa"/>
          </w:tcPr>
          <w:p>
            <w:pPr>
              <w:rPr>
                <w:rFonts w:ascii="宋体" w:hAnsi="宋体" w:eastAsia="宋体" w:cs="宋体"/>
                <w:color w:val="000000"/>
                <w:kern w:val="0"/>
                <w:sz w:val="18"/>
                <w:szCs w:val="18"/>
                <w:lang w:bidi="ar"/>
              </w:rPr>
            </w:pPr>
          </w:p>
          <w:p>
            <w:r>
              <w:rPr>
                <w:rFonts w:hint="eastAsia" w:ascii="宋体" w:hAnsi="宋体" w:eastAsia="宋体" w:cs="宋体"/>
                <w:color w:val="000000"/>
                <w:kern w:val="0"/>
                <w:sz w:val="18"/>
                <w:szCs w:val="18"/>
                <w:lang w:bidi="ar"/>
              </w:rPr>
              <w:t>1</w:t>
            </w:r>
            <w:r>
              <w:rPr>
                <w:rFonts w:ascii="宋体" w:hAnsi="宋体" w:eastAsia="宋体" w:cs="宋体"/>
                <w:color w:val="000000"/>
                <w:kern w:val="0"/>
                <w:sz w:val="18"/>
                <w:szCs w:val="18"/>
                <w:lang w:bidi="ar"/>
              </w:rPr>
              <w:t>4501151001</w:t>
            </w:r>
          </w:p>
        </w:tc>
        <w:tc>
          <w:tcPr>
            <w:tcW w:w="2135"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工程制图C</w:t>
            </w:r>
            <w:r>
              <w:rPr>
                <w:rFonts w:ascii="宋体" w:hAnsi="宋体" w:eastAsia="宋体" w:cs="宋体"/>
                <w:bCs/>
                <w:color w:val="000000" w:themeColor="text1"/>
                <w:kern w:val="0"/>
                <w:szCs w:val="21"/>
                <w14:textFill>
                  <w14:solidFill>
                    <w14:schemeClr w14:val="tx1"/>
                  </w14:solidFill>
                </w14:textFill>
              </w:rPr>
              <w:t>AD</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43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70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w:t>
            </w:r>
          </w:p>
        </w:tc>
        <w:tc>
          <w:tcPr>
            <w:tcW w:w="70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6</w:t>
            </w:r>
            <w:r>
              <w:rPr>
                <w:rFonts w:ascii="宋体" w:hAnsi="宋体" w:eastAsia="宋体" w:cs="宋体"/>
                <w:bCs/>
                <w:color w:val="000000" w:themeColor="text1"/>
                <w:kern w:val="0"/>
                <w:szCs w:val="21"/>
                <w14:textFill>
                  <w14:solidFill>
                    <w14:schemeClr w14:val="tx1"/>
                  </w14:solidFill>
                </w14:textFill>
              </w:rPr>
              <w:t>4</w:t>
            </w:r>
          </w:p>
        </w:tc>
        <w:tc>
          <w:tcPr>
            <w:tcW w:w="494"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640"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6</w:t>
            </w:r>
            <w:r>
              <w:rPr>
                <w:rFonts w:ascii="宋体" w:hAnsi="宋体" w:eastAsia="宋体" w:cs="宋体"/>
                <w:bCs/>
                <w:color w:val="000000" w:themeColor="text1"/>
                <w:kern w:val="0"/>
                <w:szCs w:val="21"/>
                <w14:textFill>
                  <w14:solidFill>
                    <w14:schemeClr w14:val="tx1"/>
                  </w14:solidFill>
                </w14:textFill>
              </w:rPr>
              <w:t>4</w:t>
            </w:r>
          </w:p>
        </w:tc>
        <w:tc>
          <w:tcPr>
            <w:tcW w:w="465"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14:textFill>
                  <w14:solidFill>
                    <w14:schemeClr w14:val="tx1"/>
                  </w14:solidFill>
                </w14:textFill>
              </w:rPr>
              <w:t>√</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14:textFill>
                  <w14:solidFill>
                    <w14:schemeClr w14:val="tx1"/>
                  </w14:solidFill>
                </w14:textFill>
              </w:rPr>
              <w:t>C</w:t>
            </w:r>
          </w:p>
        </w:tc>
        <w:tc>
          <w:tcPr>
            <w:tcW w:w="1061" w:type="dxa"/>
          </w:tcPr>
          <w:p>
            <w:r>
              <w:rPr>
                <w:rFonts w:hint="eastAsia" w:ascii="楷体_GB2312" w:hAnsi="楷体_GB2312" w:eastAsia="楷体_GB2312" w:cs="楷体_GB2312"/>
                <w:b/>
                <w:bCs/>
                <w:color w:val="000000" w:themeColor="text1"/>
                <w:sz w:val="28"/>
                <w:szCs w:val="28"/>
                <w14:textFill>
                  <w14:solidFill>
                    <w14:schemeClr w14:val="tx1"/>
                  </w14:solidFill>
                </w14:textFill>
              </w:rPr>
              <w:t>机电系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3</w:t>
            </w:r>
          </w:p>
        </w:tc>
        <w:tc>
          <w:tcPr>
            <w:tcW w:w="1346" w:type="dxa"/>
          </w:tcPr>
          <w:p>
            <w:r>
              <w:rPr>
                <w:rFonts w:hint="eastAsia" w:ascii="宋体" w:hAnsi="宋体" w:eastAsia="宋体" w:cs="宋体"/>
                <w:color w:val="000000"/>
                <w:kern w:val="0"/>
                <w:sz w:val="18"/>
                <w:szCs w:val="18"/>
                <w:lang w:bidi="ar"/>
              </w:rPr>
              <w:t>1</w:t>
            </w:r>
            <w:r>
              <w:rPr>
                <w:rFonts w:ascii="宋体" w:hAnsi="宋体" w:eastAsia="宋体" w:cs="宋体"/>
                <w:color w:val="000000"/>
                <w:kern w:val="0"/>
                <w:sz w:val="18"/>
                <w:szCs w:val="18"/>
                <w:lang w:bidi="ar"/>
              </w:rPr>
              <w:t>4501151002</w:t>
            </w:r>
          </w:p>
        </w:tc>
        <w:tc>
          <w:tcPr>
            <w:tcW w:w="2135"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热工基础</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43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70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w:t>
            </w:r>
          </w:p>
        </w:tc>
        <w:tc>
          <w:tcPr>
            <w:tcW w:w="70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6</w:t>
            </w:r>
            <w:r>
              <w:rPr>
                <w:rFonts w:ascii="宋体" w:hAnsi="宋体" w:eastAsia="宋体" w:cs="宋体"/>
                <w:bCs/>
                <w:color w:val="000000" w:themeColor="text1"/>
                <w:kern w:val="0"/>
                <w:szCs w:val="21"/>
                <w14:textFill>
                  <w14:solidFill>
                    <w14:schemeClr w14:val="tx1"/>
                  </w14:solidFill>
                </w14:textFill>
              </w:rPr>
              <w:t>4</w:t>
            </w:r>
          </w:p>
        </w:tc>
        <w:tc>
          <w:tcPr>
            <w:tcW w:w="494"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6</w:t>
            </w:r>
            <w:r>
              <w:rPr>
                <w:rFonts w:ascii="宋体" w:hAnsi="宋体" w:eastAsia="宋体" w:cs="宋体"/>
                <w:bCs/>
                <w:color w:val="000000" w:themeColor="text1"/>
                <w:kern w:val="0"/>
                <w:szCs w:val="21"/>
                <w14:textFill>
                  <w14:solidFill>
                    <w14:schemeClr w14:val="tx1"/>
                  </w14:solidFill>
                </w14:textFill>
              </w:rPr>
              <w:t>4</w:t>
            </w:r>
          </w:p>
        </w:tc>
        <w:tc>
          <w:tcPr>
            <w:tcW w:w="640"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465"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14:textFill>
                  <w14:solidFill>
                    <w14:schemeClr w14:val="tx1"/>
                  </w14:solidFill>
                </w14:textFill>
              </w:rPr>
              <w:t>√</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14:textFill>
                  <w14:solidFill>
                    <w14:schemeClr w14:val="tx1"/>
                  </w14:solidFill>
                </w14:textFill>
              </w:rPr>
              <w:t>B</w:t>
            </w:r>
          </w:p>
        </w:tc>
        <w:tc>
          <w:tcPr>
            <w:tcW w:w="1061" w:type="dxa"/>
          </w:tcPr>
          <w:p>
            <w:r>
              <w:rPr>
                <w:rFonts w:hint="eastAsia" w:ascii="楷体_GB2312" w:hAnsi="楷体_GB2312" w:eastAsia="楷体_GB2312" w:cs="楷体_GB2312"/>
                <w:b/>
                <w:bCs/>
                <w:color w:val="000000" w:themeColor="text1"/>
                <w:sz w:val="28"/>
                <w:szCs w:val="28"/>
                <w14:textFill>
                  <w14:solidFill>
                    <w14:schemeClr w14:val="tx1"/>
                  </w14:solidFill>
                </w14:textFill>
              </w:rPr>
              <w:t>机电系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4</w:t>
            </w:r>
          </w:p>
        </w:tc>
        <w:tc>
          <w:tcPr>
            <w:tcW w:w="1346" w:type="dxa"/>
          </w:tcPr>
          <w:p>
            <w:r>
              <w:rPr>
                <w:rFonts w:hint="eastAsia" w:ascii="宋体" w:hAnsi="宋体" w:eastAsia="宋体" w:cs="宋体"/>
                <w:color w:val="000000"/>
                <w:kern w:val="0"/>
                <w:sz w:val="18"/>
                <w:szCs w:val="18"/>
                <w:lang w:bidi="ar"/>
              </w:rPr>
              <w:t>1</w:t>
            </w:r>
            <w:r>
              <w:rPr>
                <w:rFonts w:ascii="宋体" w:hAnsi="宋体" w:eastAsia="宋体" w:cs="宋体"/>
                <w:color w:val="000000"/>
                <w:kern w:val="0"/>
                <w:sz w:val="18"/>
                <w:szCs w:val="18"/>
                <w:lang w:bidi="ar"/>
              </w:rPr>
              <w:t>4501151003</w:t>
            </w:r>
          </w:p>
        </w:tc>
        <w:tc>
          <w:tcPr>
            <w:tcW w:w="2135" w:type="dxa"/>
            <w:vAlign w:val="center"/>
          </w:tcPr>
          <w:p>
            <w:pPr>
              <w:jc w:val="center"/>
              <w:textAlignment w:val="center"/>
              <w:rPr>
                <w:rFonts w:hint="eastAsia" w:ascii="宋体" w:hAnsi="宋体" w:eastAsia="宋体" w:cs="宋体"/>
                <w:bCs/>
                <w:color w:val="000000" w:themeColor="text1"/>
                <w:kern w:val="0"/>
                <w:szCs w:val="21"/>
                <w:lang w:eastAsia="zh-CN"/>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r>
              <w:rPr>
                <w:rFonts w:hint="eastAsia" w:ascii="宋体" w:hAnsi="宋体" w:eastAsia="宋体" w:cs="宋体"/>
                <w:bCs/>
                <w:color w:val="000000" w:themeColor="text1"/>
                <w:kern w:val="0"/>
                <w:szCs w:val="21"/>
                <w:lang w:val="en-US" w:eastAsia="zh-CN"/>
                <w14:textFill>
                  <w14:solidFill>
                    <w14:schemeClr w14:val="tx1"/>
                  </w14:solidFill>
                </w14:textFill>
              </w:rPr>
              <w:t>电机技术</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43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70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w:t>
            </w:r>
          </w:p>
        </w:tc>
        <w:tc>
          <w:tcPr>
            <w:tcW w:w="70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6</w:t>
            </w:r>
            <w:r>
              <w:rPr>
                <w:rFonts w:ascii="宋体" w:hAnsi="宋体" w:eastAsia="宋体" w:cs="宋体"/>
                <w:bCs/>
                <w:color w:val="000000" w:themeColor="text1"/>
                <w:kern w:val="0"/>
                <w:szCs w:val="21"/>
                <w14:textFill>
                  <w14:solidFill>
                    <w14:schemeClr w14:val="tx1"/>
                  </w14:solidFill>
                </w14:textFill>
              </w:rPr>
              <w:t>4</w:t>
            </w:r>
          </w:p>
        </w:tc>
        <w:tc>
          <w:tcPr>
            <w:tcW w:w="494"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6</w:t>
            </w:r>
            <w:r>
              <w:rPr>
                <w:rFonts w:ascii="宋体" w:hAnsi="宋体" w:eastAsia="宋体" w:cs="宋体"/>
                <w:bCs/>
                <w:color w:val="000000" w:themeColor="text1"/>
                <w:kern w:val="0"/>
                <w:szCs w:val="21"/>
                <w14:textFill>
                  <w14:solidFill>
                    <w14:schemeClr w14:val="tx1"/>
                  </w14:solidFill>
                </w14:textFill>
              </w:rPr>
              <w:t>4</w:t>
            </w:r>
          </w:p>
        </w:tc>
        <w:tc>
          <w:tcPr>
            <w:tcW w:w="640"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465"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14:textFill>
                  <w14:solidFill>
                    <w14:schemeClr w14:val="tx1"/>
                  </w14:solidFill>
                </w14:textFill>
              </w:rPr>
              <w:t>√</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14:textFill>
                  <w14:solidFill>
                    <w14:schemeClr w14:val="tx1"/>
                  </w14:solidFill>
                </w14:textFill>
              </w:rPr>
              <w:t>B</w:t>
            </w:r>
          </w:p>
        </w:tc>
        <w:tc>
          <w:tcPr>
            <w:tcW w:w="1061" w:type="dxa"/>
          </w:tcPr>
          <w:p>
            <w:r>
              <w:rPr>
                <w:rFonts w:hint="eastAsia" w:ascii="楷体_GB2312" w:hAnsi="楷体_GB2312" w:eastAsia="楷体_GB2312" w:cs="楷体_GB2312"/>
                <w:b/>
                <w:bCs/>
                <w:color w:val="000000" w:themeColor="text1"/>
                <w:sz w:val="28"/>
                <w:szCs w:val="28"/>
                <w14:textFill>
                  <w14:solidFill>
                    <w14:schemeClr w14:val="tx1"/>
                  </w14:solidFill>
                </w14:textFill>
              </w:rPr>
              <w:t>机电系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5</w:t>
            </w:r>
          </w:p>
        </w:tc>
        <w:tc>
          <w:tcPr>
            <w:tcW w:w="1346" w:type="dxa"/>
          </w:tcPr>
          <w:p>
            <w:r>
              <w:rPr>
                <w:rFonts w:hint="eastAsia" w:ascii="宋体" w:hAnsi="宋体" w:eastAsia="宋体" w:cs="宋体"/>
                <w:color w:val="000000"/>
                <w:kern w:val="0"/>
                <w:sz w:val="18"/>
                <w:szCs w:val="18"/>
                <w:lang w:bidi="ar"/>
              </w:rPr>
              <w:t>1</w:t>
            </w:r>
            <w:r>
              <w:rPr>
                <w:rFonts w:ascii="宋体" w:hAnsi="宋体" w:eastAsia="宋体" w:cs="宋体"/>
                <w:color w:val="000000"/>
                <w:kern w:val="0"/>
                <w:sz w:val="18"/>
                <w:szCs w:val="18"/>
                <w:lang w:bidi="ar"/>
              </w:rPr>
              <w:t>4501151004</w:t>
            </w:r>
          </w:p>
        </w:tc>
        <w:tc>
          <w:tcPr>
            <w:tcW w:w="2135" w:type="dxa"/>
            <w:vAlign w:val="center"/>
          </w:tcPr>
          <w:p>
            <w:pPr>
              <w:jc w:val="center"/>
              <w:textAlignment w:val="center"/>
              <w:rPr>
                <w:rFonts w:hint="eastAsia" w:ascii="宋体" w:hAnsi="宋体" w:eastAsia="宋体" w:cs="宋体"/>
                <w:bCs/>
                <w:color w:val="000000" w:themeColor="text1"/>
                <w:kern w:val="0"/>
                <w:szCs w:val="21"/>
                <w:lang w:eastAsia="zh-CN"/>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r>
              <w:rPr>
                <w:rFonts w:hint="eastAsia" w:ascii="宋体" w:hAnsi="宋体" w:eastAsia="宋体" w:cs="宋体"/>
                <w:bCs/>
                <w:color w:val="000000" w:themeColor="text1"/>
                <w:kern w:val="0"/>
                <w:szCs w:val="21"/>
                <w:lang w:val="en-US" w:eastAsia="zh-CN"/>
                <w14:textFill>
                  <w14:solidFill>
                    <w14:schemeClr w14:val="tx1"/>
                  </w14:solidFill>
                </w14:textFill>
              </w:rPr>
              <w:t>高电压技术</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43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70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6</w:t>
            </w:r>
          </w:p>
        </w:tc>
        <w:tc>
          <w:tcPr>
            <w:tcW w:w="70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96</w:t>
            </w:r>
          </w:p>
        </w:tc>
        <w:tc>
          <w:tcPr>
            <w:tcW w:w="494"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36</w:t>
            </w:r>
          </w:p>
        </w:tc>
        <w:tc>
          <w:tcPr>
            <w:tcW w:w="640"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60</w:t>
            </w:r>
          </w:p>
        </w:tc>
        <w:tc>
          <w:tcPr>
            <w:tcW w:w="465"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14:textFill>
                  <w14:solidFill>
                    <w14:schemeClr w14:val="tx1"/>
                  </w14:solidFill>
                </w14:textFill>
              </w:rPr>
              <w:t>√</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14:textFill>
                  <w14:solidFill>
                    <w14:schemeClr w14:val="tx1"/>
                  </w14:solidFill>
                </w14:textFill>
              </w:rPr>
              <w:t>C</w:t>
            </w:r>
          </w:p>
        </w:tc>
        <w:tc>
          <w:tcPr>
            <w:tcW w:w="1061" w:type="dxa"/>
          </w:tcPr>
          <w:p>
            <w:r>
              <w:rPr>
                <w:rFonts w:hint="eastAsia" w:ascii="楷体_GB2312" w:hAnsi="楷体_GB2312" w:eastAsia="楷体_GB2312" w:cs="楷体_GB2312"/>
                <w:b/>
                <w:bCs/>
                <w:color w:val="000000" w:themeColor="text1"/>
                <w:sz w:val="28"/>
                <w:szCs w:val="28"/>
                <w14:textFill>
                  <w14:solidFill>
                    <w14:schemeClr w14:val="tx1"/>
                  </w14:solidFill>
                </w14:textFill>
              </w:rPr>
              <w:t>机电系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6</w:t>
            </w:r>
          </w:p>
        </w:tc>
        <w:tc>
          <w:tcPr>
            <w:tcW w:w="1346" w:type="dxa"/>
          </w:tcPr>
          <w:p>
            <w:r>
              <w:rPr>
                <w:rFonts w:hint="eastAsia" w:ascii="宋体" w:hAnsi="宋体" w:eastAsia="宋体" w:cs="宋体"/>
                <w:color w:val="000000"/>
                <w:kern w:val="0"/>
                <w:sz w:val="18"/>
                <w:szCs w:val="18"/>
                <w:lang w:bidi="ar"/>
              </w:rPr>
              <w:t>1</w:t>
            </w:r>
            <w:r>
              <w:rPr>
                <w:rFonts w:ascii="宋体" w:hAnsi="宋体" w:eastAsia="宋体" w:cs="宋体"/>
                <w:color w:val="000000"/>
                <w:kern w:val="0"/>
                <w:sz w:val="18"/>
                <w:szCs w:val="18"/>
                <w:lang w:bidi="ar"/>
              </w:rPr>
              <w:t>4501151005</w:t>
            </w:r>
          </w:p>
        </w:tc>
        <w:tc>
          <w:tcPr>
            <w:tcW w:w="2135" w:type="dxa"/>
            <w:vAlign w:val="center"/>
          </w:tcPr>
          <w:p>
            <w:pPr>
              <w:jc w:val="center"/>
              <w:textAlignment w:val="center"/>
              <w:rPr>
                <w:rFonts w:hint="default" w:ascii="宋体" w:hAnsi="宋体" w:eastAsia="宋体" w:cs="宋体"/>
                <w:bCs/>
                <w:color w:val="000000" w:themeColor="text1"/>
                <w:kern w:val="0"/>
                <w:szCs w:val="21"/>
                <w:lang w:val="en-US" w:eastAsia="zh-CN"/>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bookmarkStart w:id="40" w:name="OLE_LINK4"/>
            <w:r>
              <w:rPr>
                <w:rFonts w:hint="eastAsia" w:ascii="宋体" w:hAnsi="宋体" w:eastAsia="宋体" w:cs="宋体"/>
                <w:bCs/>
                <w:color w:val="000000" w:themeColor="text1"/>
                <w:kern w:val="0"/>
                <w:szCs w:val="21"/>
                <w:lang w:val="en-US" w:eastAsia="zh-CN"/>
                <w14:textFill>
                  <w14:solidFill>
                    <w14:schemeClr w14:val="tx1"/>
                  </w14:solidFill>
                </w14:textFill>
              </w:rPr>
              <w:t>发电厂变电站电气设备</w:t>
            </w:r>
            <w:bookmarkEnd w:id="40"/>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43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70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6</w:t>
            </w:r>
          </w:p>
        </w:tc>
        <w:tc>
          <w:tcPr>
            <w:tcW w:w="70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96</w:t>
            </w:r>
          </w:p>
        </w:tc>
        <w:tc>
          <w:tcPr>
            <w:tcW w:w="494"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36</w:t>
            </w:r>
          </w:p>
        </w:tc>
        <w:tc>
          <w:tcPr>
            <w:tcW w:w="640"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60</w:t>
            </w:r>
          </w:p>
        </w:tc>
        <w:tc>
          <w:tcPr>
            <w:tcW w:w="465"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14:textFill>
                  <w14:solidFill>
                    <w14:schemeClr w14:val="tx1"/>
                  </w14:solidFill>
                </w14:textFill>
              </w:rPr>
              <w:t>√</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14:textFill>
                  <w14:solidFill>
                    <w14:schemeClr w14:val="tx1"/>
                  </w14:solidFill>
                </w14:textFill>
              </w:rPr>
              <w:t>C</w:t>
            </w:r>
          </w:p>
        </w:tc>
        <w:tc>
          <w:tcPr>
            <w:tcW w:w="1061" w:type="dxa"/>
          </w:tcPr>
          <w:p>
            <w:r>
              <w:rPr>
                <w:rFonts w:hint="eastAsia" w:ascii="楷体_GB2312" w:hAnsi="楷体_GB2312" w:eastAsia="楷体_GB2312" w:cs="楷体_GB2312"/>
                <w:b/>
                <w:bCs/>
                <w:color w:val="000000" w:themeColor="text1"/>
                <w:sz w:val="28"/>
                <w:szCs w:val="28"/>
                <w14:textFill>
                  <w14:solidFill>
                    <w14:schemeClr w14:val="tx1"/>
                  </w14:solidFill>
                </w14:textFill>
              </w:rPr>
              <w:t>机电系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7</w:t>
            </w:r>
          </w:p>
        </w:tc>
        <w:tc>
          <w:tcPr>
            <w:tcW w:w="1346" w:type="dxa"/>
          </w:tcPr>
          <w:p>
            <w:r>
              <w:rPr>
                <w:rFonts w:hint="eastAsia" w:ascii="宋体" w:hAnsi="宋体" w:eastAsia="宋体" w:cs="宋体"/>
                <w:color w:val="000000"/>
                <w:kern w:val="0"/>
                <w:sz w:val="18"/>
                <w:szCs w:val="18"/>
                <w:lang w:bidi="ar"/>
              </w:rPr>
              <w:t>1</w:t>
            </w:r>
            <w:r>
              <w:rPr>
                <w:rFonts w:ascii="宋体" w:hAnsi="宋体" w:eastAsia="宋体" w:cs="宋体"/>
                <w:color w:val="000000"/>
                <w:kern w:val="0"/>
                <w:sz w:val="18"/>
                <w:szCs w:val="18"/>
                <w:lang w:bidi="ar"/>
              </w:rPr>
              <w:t>4501151006</w:t>
            </w:r>
          </w:p>
        </w:tc>
        <w:tc>
          <w:tcPr>
            <w:tcW w:w="2135"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★发电厂电气设备及行</w:t>
            </w:r>
          </w:p>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43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70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w:t>
            </w:r>
          </w:p>
        </w:tc>
        <w:tc>
          <w:tcPr>
            <w:tcW w:w="70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6</w:t>
            </w:r>
            <w:r>
              <w:rPr>
                <w:rFonts w:ascii="宋体" w:hAnsi="宋体" w:eastAsia="宋体" w:cs="宋体"/>
                <w:bCs/>
                <w:color w:val="000000" w:themeColor="text1"/>
                <w:kern w:val="0"/>
                <w:szCs w:val="21"/>
                <w14:textFill>
                  <w14:solidFill>
                    <w14:schemeClr w14:val="tx1"/>
                  </w14:solidFill>
                </w14:textFill>
              </w:rPr>
              <w:t>4</w:t>
            </w:r>
          </w:p>
        </w:tc>
        <w:tc>
          <w:tcPr>
            <w:tcW w:w="494"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6</w:t>
            </w:r>
            <w:r>
              <w:rPr>
                <w:rFonts w:ascii="宋体" w:hAnsi="宋体" w:eastAsia="宋体" w:cs="宋体"/>
                <w:bCs/>
                <w:color w:val="000000" w:themeColor="text1"/>
                <w:kern w:val="0"/>
                <w:szCs w:val="21"/>
                <w14:textFill>
                  <w14:solidFill>
                    <w14:schemeClr w14:val="tx1"/>
                  </w14:solidFill>
                </w14:textFill>
              </w:rPr>
              <w:t>4</w:t>
            </w:r>
          </w:p>
        </w:tc>
        <w:tc>
          <w:tcPr>
            <w:tcW w:w="640"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465"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14:textFill>
                  <w14:solidFill>
                    <w14:schemeClr w14:val="tx1"/>
                  </w14:solidFill>
                </w14:textFill>
              </w:rPr>
              <w:t>√</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14:textFill>
                  <w14:solidFill>
                    <w14:schemeClr w14:val="tx1"/>
                  </w14:solidFill>
                </w14:textFill>
              </w:rPr>
              <w:t>B</w:t>
            </w:r>
          </w:p>
        </w:tc>
        <w:tc>
          <w:tcPr>
            <w:tcW w:w="1061" w:type="dxa"/>
          </w:tcPr>
          <w:p>
            <w:r>
              <w:rPr>
                <w:rFonts w:hint="eastAsia" w:ascii="楷体_GB2312" w:hAnsi="楷体_GB2312" w:eastAsia="楷体_GB2312" w:cs="楷体_GB2312"/>
                <w:b/>
                <w:bCs/>
                <w:color w:val="000000" w:themeColor="text1"/>
                <w:sz w:val="28"/>
                <w:szCs w:val="28"/>
                <w14:textFill>
                  <w14:solidFill>
                    <w14:schemeClr w14:val="tx1"/>
                  </w14:solidFill>
                </w14:textFill>
              </w:rPr>
              <w:t>机电系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8</w:t>
            </w:r>
          </w:p>
        </w:tc>
        <w:tc>
          <w:tcPr>
            <w:tcW w:w="1346" w:type="dxa"/>
          </w:tcPr>
          <w:p>
            <w:r>
              <w:rPr>
                <w:rFonts w:hint="eastAsia" w:ascii="宋体" w:hAnsi="宋体" w:eastAsia="宋体" w:cs="宋体"/>
                <w:color w:val="000000"/>
                <w:kern w:val="0"/>
                <w:sz w:val="18"/>
                <w:szCs w:val="18"/>
                <w:lang w:bidi="ar"/>
              </w:rPr>
              <w:t>1</w:t>
            </w:r>
            <w:r>
              <w:rPr>
                <w:rFonts w:ascii="宋体" w:hAnsi="宋体" w:eastAsia="宋体" w:cs="宋体"/>
                <w:color w:val="000000"/>
                <w:kern w:val="0"/>
                <w:sz w:val="18"/>
                <w:szCs w:val="18"/>
                <w:lang w:bidi="ar"/>
              </w:rPr>
              <w:t>4501151007</w:t>
            </w:r>
          </w:p>
        </w:tc>
        <w:tc>
          <w:tcPr>
            <w:tcW w:w="2135"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★热工自动控制系统</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43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70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w:t>
            </w:r>
          </w:p>
        </w:tc>
        <w:tc>
          <w:tcPr>
            <w:tcW w:w="70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6</w:t>
            </w:r>
            <w:r>
              <w:rPr>
                <w:rFonts w:ascii="宋体" w:hAnsi="宋体" w:eastAsia="宋体" w:cs="宋体"/>
                <w:bCs/>
                <w:color w:val="000000" w:themeColor="text1"/>
                <w:kern w:val="0"/>
                <w:szCs w:val="21"/>
                <w14:textFill>
                  <w14:solidFill>
                    <w14:schemeClr w14:val="tx1"/>
                  </w14:solidFill>
                </w14:textFill>
              </w:rPr>
              <w:t>4</w:t>
            </w:r>
          </w:p>
        </w:tc>
        <w:tc>
          <w:tcPr>
            <w:tcW w:w="494"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6</w:t>
            </w:r>
            <w:r>
              <w:rPr>
                <w:rFonts w:ascii="宋体" w:hAnsi="宋体" w:eastAsia="宋体" w:cs="宋体"/>
                <w:bCs/>
                <w:color w:val="000000" w:themeColor="text1"/>
                <w:kern w:val="0"/>
                <w:szCs w:val="21"/>
                <w14:textFill>
                  <w14:solidFill>
                    <w14:schemeClr w14:val="tx1"/>
                  </w14:solidFill>
                </w14:textFill>
              </w:rPr>
              <w:t>4</w:t>
            </w:r>
          </w:p>
        </w:tc>
        <w:tc>
          <w:tcPr>
            <w:tcW w:w="640"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465"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Cs/>
                <w:color w:val="000000" w:themeColor="text1"/>
                <w:sz w:val="28"/>
                <w:szCs w:val="28"/>
                <w14:textFill>
                  <w14:solidFill>
                    <w14:schemeClr w14:val="tx1"/>
                  </w14:solidFill>
                </w14:textFill>
              </w:rPr>
              <w:t>√</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14:textFill>
                  <w14:solidFill>
                    <w14:schemeClr w14:val="tx1"/>
                  </w14:solidFill>
                </w14:textFill>
              </w:rPr>
              <w:t>B</w:t>
            </w:r>
          </w:p>
        </w:tc>
        <w:tc>
          <w:tcPr>
            <w:tcW w:w="1061" w:type="dxa"/>
          </w:tcPr>
          <w:p>
            <w:r>
              <w:rPr>
                <w:rFonts w:hint="eastAsia" w:ascii="楷体_GB2312" w:hAnsi="楷体_GB2312" w:eastAsia="楷体_GB2312" w:cs="楷体_GB2312"/>
                <w:b/>
                <w:bCs/>
                <w:color w:val="000000" w:themeColor="text1"/>
                <w:sz w:val="28"/>
                <w:szCs w:val="28"/>
                <w14:textFill>
                  <w14:solidFill>
                    <w14:schemeClr w14:val="tx1"/>
                  </w14:solidFill>
                </w14:textFill>
              </w:rPr>
              <w:t>机电系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9</w:t>
            </w:r>
          </w:p>
        </w:tc>
        <w:tc>
          <w:tcPr>
            <w:tcW w:w="1346" w:type="dxa"/>
          </w:tcPr>
          <w:p>
            <w:r>
              <w:rPr>
                <w:rFonts w:hint="eastAsia" w:ascii="宋体" w:hAnsi="宋体" w:eastAsia="宋体" w:cs="宋体"/>
                <w:color w:val="000000"/>
                <w:kern w:val="0"/>
                <w:sz w:val="18"/>
                <w:szCs w:val="18"/>
                <w:lang w:bidi="ar"/>
              </w:rPr>
              <w:t>1</w:t>
            </w:r>
            <w:r>
              <w:rPr>
                <w:rFonts w:ascii="宋体" w:hAnsi="宋体" w:eastAsia="宋体" w:cs="宋体"/>
                <w:color w:val="000000"/>
                <w:kern w:val="0"/>
                <w:sz w:val="18"/>
                <w:szCs w:val="18"/>
                <w:lang w:bidi="ar"/>
              </w:rPr>
              <w:t>4501151008</w:t>
            </w:r>
          </w:p>
        </w:tc>
        <w:tc>
          <w:tcPr>
            <w:tcW w:w="2135" w:type="dxa"/>
            <w:vAlign w:val="center"/>
          </w:tcPr>
          <w:p>
            <w:pPr>
              <w:jc w:val="center"/>
              <w:textAlignment w:val="center"/>
              <w:rPr>
                <w:rFonts w:hint="eastAsia" w:ascii="宋体" w:hAnsi="宋体" w:eastAsia="宋体" w:cs="宋体"/>
                <w:bCs/>
                <w:color w:val="000000" w:themeColor="text1"/>
                <w:kern w:val="0"/>
                <w:szCs w:val="21"/>
                <w:lang w:eastAsia="zh-CN"/>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r>
              <w:rPr>
                <w:rFonts w:hint="eastAsia" w:ascii="宋体" w:hAnsi="宋体" w:eastAsia="宋体" w:cs="宋体"/>
                <w:bCs/>
                <w:color w:val="000000" w:themeColor="text1"/>
                <w:kern w:val="0"/>
                <w:szCs w:val="21"/>
                <w:lang w:val="en-US" w:eastAsia="zh-CN"/>
                <w14:textFill>
                  <w14:solidFill>
                    <w14:schemeClr w14:val="tx1"/>
                  </w14:solidFill>
                </w14:textFill>
              </w:rPr>
              <w:t>继电保护与自动装置</w:t>
            </w:r>
          </w:p>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43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70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w:t>
            </w:r>
          </w:p>
        </w:tc>
        <w:tc>
          <w:tcPr>
            <w:tcW w:w="70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6</w:t>
            </w:r>
            <w:r>
              <w:rPr>
                <w:rFonts w:ascii="宋体" w:hAnsi="宋体" w:eastAsia="宋体" w:cs="宋体"/>
                <w:bCs/>
                <w:color w:val="000000" w:themeColor="text1"/>
                <w:kern w:val="0"/>
                <w:szCs w:val="21"/>
                <w14:textFill>
                  <w14:solidFill>
                    <w14:schemeClr w14:val="tx1"/>
                  </w14:solidFill>
                </w14:textFill>
              </w:rPr>
              <w:t>4</w:t>
            </w:r>
          </w:p>
        </w:tc>
        <w:tc>
          <w:tcPr>
            <w:tcW w:w="494"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6</w:t>
            </w:r>
            <w:r>
              <w:rPr>
                <w:rFonts w:ascii="宋体" w:hAnsi="宋体" w:eastAsia="宋体" w:cs="宋体"/>
                <w:bCs/>
                <w:color w:val="000000" w:themeColor="text1"/>
                <w:kern w:val="0"/>
                <w:szCs w:val="21"/>
                <w14:textFill>
                  <w14:solidFill>
                    <w14:schemeClr w14:val="tx1"/>
                  </w14:solidFill>
                </w14:textFill>
              </w:rPr>
              <w:t>4</w:t>
            </w:r>
          </w:p>
        </w:tc>
        <w:tc>
          <w:tcPr>
            <w:tcW w:w="640"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465"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r>
              <w:rPr>
                <w:rFonts w:hint="eastAsia" w:ascii="楷体_GB2312" w:hAnsi="楷体_GB2312" w:eastAsia="楷体_GB2312" w:cs="楷体_GB2312"/>
                <w:bCs/>
                <w:color w:val="000000" w:themeColor="text1"/>
                <w:sz w:val="28"/>
                <w:szCs w:val="28"/>
                <w14:textFill>
                  <w14:solidFill>
                    <w14:schemeClr w14:val="tx1"/>
                  </w14:solidFill>
                </w14:textFill>
              </w:rPr>
              <w:t>√</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14:textFill>
                  <w14:solidFill>
                    <w14:schemeClr w14:val="tx1"/>
                  </w14:solidFill>
                </w14:textFill>
              </w:rPr>
              <w:t>B</w:t>
            </w:r>
          </w:p>
        </w:tc>
        <w:tc>
          <w:tcPr>
            <w:tcW w:w="1061" w:type="dxa"/>
          </w:tcPr>
          <w:p>
            <w:r>
              <w:rPr>
                <w:rFonts w:hint="eastAsia" w:ascii="楷体_GB2312" w:hAnsi="楷体_GB2312" w:eastAsia="楷体_GB2312" w:cs="楷体_GB2312"/>
                <w:b/>
                <w:bCs/>
                <w:color w:val="000000" w:themeColor="text1"/>
                <w:sz w:val="28"/>
                <w:szCs w:val="28"/>
                <w14:textFill>
                  <w14:solidFill>
                    <w14:schemeClr w14:val="tx1"/>
                  </w14:solidFill>
                </w14:textFill>
              </w:rPr>
              <w:t>机电系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0</w:t>
            </w:r>
          </w:p>
        </w:tc>
        <w:tc>
          <w:tcPr>
            <w:tcW w:w="1346" w:type="dxa"/>
          </w:tcPr>
          <w:p>
            <w:r>
              <w:rPr>
                <w:rFonts w:hint="eastAsia" w:ascii="宋体" w:hAnsi="宋体" w:eastAsia="宋体" w:cs="宋体"/>
                <w:color w:val="000000"/>
                <w:kern w:val="0"/>
                <w:sz w:val="18"/>
                <w:szCs w:val="18"/>
                <w:lang w:bidi="ar"/>
              </w:rPr>
              <w:t>1</w:t>
            </w:r>
            <w:r>
              <w:rPr>
                <w:rFonts w:ascii="宋体" w:hAnsi="宋体" w:eastAsia="宋体" w:cs="宋体"/>
                <w:color w:val="000000"/>
                <w:kern w:val="0"/>
                <w:sz w:val="18"/>
                <w:szCs w:val="18"/>
                <w:lang w:bidi="ar"/>
              </w:rPr>
              <w:t>4501151009</w:t>
            </w:r>
          </w:p>
        </w:tc>
        <w:tc>
          <w:tcPr>
            <w:tcW w:w="2135"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★热力发电厂</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43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70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w:t>
            </w:r>
          </w:p>
        </w:tc>
        <w:tc>
          <w:tcPr>
            <w:tcW w:w="70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6</w:t>
            </w:r>
            <w:r>
              <w:rPr>
                <w:rFonts w:ascii="宋体" w:hAnsi="宋体" w:eastAsia="宋体" w:cs="宋体"/>
                <w:bCs/>
                <w:color w:val="000000" w:themeColor="text1"/>
                <w:kern w:val="0"/>
                <w:szCs w:val="21"/>
                <w14:textFill>
                  <w14:solidFill>
                    <w14:schemeClr w14:val="tx1"/>
                  </w14:solidFill>
                </w14:textFill>
              </w:rPr>
              <w:t>4</w:t>
            </w:r>
          </w:p>
        </w:tc>
        <w:tc>
          <w:tcPr>
            <w:tcW w:w="494"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w:t>
            </w:r>
            <w:r>
              <w:rPr>
                <w:rFonts w:ascii="宋体" w:hAnsi="宋体" w:eastAsia="宋体" w:cs="宋体"/>
                <w:bCs/>
                <w:color w:val="000000" w:themeColor="text1"/>
                <w:kern w:val="0"/>
                <w:szCs w:val="21"/>
                <w14:textFill>
                  <w14:solidFill>
                    <w14:schemeClr w14:val="tx1"/>
                  </w14:solidFill>
                </w14:textFill>
              </w:rPr>
              <w:t>0</w:t>
            </w:r>
          </w:p>
        </w:tc>
        <w:tc>
          <w:tcPr>
            <w:tcW w:w="640"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r>
              <w:rPr>
                <w:rFonts w:ascii="宋体" w:hAnsi="宋体" w:eastAsia="宋体" w:cs="宋体"/>
                <w:bCs/>
                <w:color w:val="000000" w:themeColor="text1"/>
                <w:kern w:val="0"/>
                <w:szCs w:val="21"/>
                <w14:textFill>
                  <w14:solidFill>
                    <w14:schemeClr w14:val="tx1"/>
                  </w14:solidFill>
                </w14:textFill>
              </w:rPr>
              <w:t>4</w:t>
            </w:r>
          </w:p>
        </w:tc>
        <w:tc>
          <w:tcPr>
            <w:tcW w:w="465"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r>
              <w:rPr>
                <w:rFonts w:hint="eastAsia" w:ascii="楷体_GB2312" w:hAnsi="楷体_GB2312" w:eastAsia="楷体_GB2312" w:cs="楷体_GB2312"/>
                <w:bCs/>
                <w:color w:val="000000" w:themeColor="text1"/>
                <w:sz w:val="28"/>
                <w:szCs w:val="28"/>
                <w14:textFill>
                  <w14:solidFill>
                    <w14:schemeClr w14:val="tx1"/>
                  </w14:solidFill>
                </w14:textFill>
              </w:rPr>
              <w:t>√</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14:textFill>
                  <w14:solidFill>
                    <w14:schemeClr w14:val="tx1"/>
                  </w14:solidFill>
                </w14:textFill>
              </w:rPr>
              <w:t>B</w:t>
            </w:r>
          </w:p>
        </w:tc>
        <w:tc>
          <w:tcPr>
            <w:tcW w:w="1061" w:type="dxa"/>
          </w:tcPr>
          <w:p>
            <w:r>
              <w:rPr>
                <w:rFonts w:hint="eastAsia" w:ascii="楷体_GB2312" w:hAnsi="楷体_GB2312" w:eastAsia="楷体_GB2312" w:cs="楷体_GB2312"/>
                <w:b/>
                <w:bCs/>
                <w:color w:val="000000" w:themeColor="text1"/>
                <w:sz w:val="28"/>
                <w:szCs w:val="28"/>
                <w14:textFill>
                  <w14:solidFill>
                    <w14:schemeClr w14:val="tx1"/>
                  </w14:solidFill>
                </w14:textFill>
              </w:rPr>
              <w:t>机电系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1</w:t>
            </w:r>
          </w:p>
        </w:tc>
        <w:tc>
          <w:tcPr>
            <w:tcW w:w="1346" w:type="dxa"/>
          </w:tcPr>
          <w:p>
            <w:r>
              <w:rPr>
                <w:rFonts w:hint="eastAsia" w:ascii="宋体" w:hAnsi="宋体" w:eastAsia="宋体" w:cs="宋体"/>
                <w:color w:val="000000"/>
                <w:kern w:val="0"/>
                <w:sz w:val="18"/>
                <w:szCs w:val="18"/>
                <w:lang w:bidi="ar"/>
              </w:rPr>
              <w:t>1</w:t>
            </w:r>
            <w:r>
              <w:rPr>
                <w:rFonts w:ascii="宋体" w:hAnsi="宋体" w:eastAsia="宋体" w:cs="宋体"/>
                <w:color w:val="000000"/>
                <w:kern w:val="0"/>
                <w:sz w:val="18"/>
                <w:szCs w:val="18"/>
                <w:lang w:bidi="ar"/>
              </w:rPr>
              <w:t>4501151010</w:t>
            </w:r>
          </w:p>
        </w:tc>
        <w:tc>
          <w:tcPr>
            <w:tcW w:w="2135"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★单元机组集控运行</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43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70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6</w:t>
            </w:r>
          </w:p>
        </w:tc>
        <w:tc>
          <w:tcPr>
            <w:tcW w:w="70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96</w:t>
            </w:r>
          </w:p>
        </w:tc>
        <w:tc>
          <w:tcPr>
            <w:tcW w:w="494"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640"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96</w:t>
            </w:r>
          </w:p>
        </w:tc>
        <w:tc>
          <w:tcPr>
            <w:tcW w:w="465"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r>
              <w:rPr>
                <w:rFonts w:hint="eastAsia" w:ascii="楷体_GB2312" w:hAnsi="楷体_GB2312" w:eastAsia="楷体_GB2312" w:cs="楷体_GB2312"/>
                <w:bCs/>
                <w:color w:val="000000" w:themeColor="text1"/>
                <w:sz w:val="28"/>
                <w:szCs w:val="28"/>
                <w14:textFill>
                  <w14:solidFill>
                    <w14:schemeClr w14:val="tx1"/>
                  </w14:solidFill>
                </w14:textFill>
              </w:rPr>
              <w:t>√</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14:textFill>
                  <w14:solidFill>
                    <w14:schemeClr w14:val="tx1"/>
                  </w14:solidFill>
                </w14:textFill>
              </w:rPr>
              <w:t>C</w:t>
            </w:r>
          </w:p>
        </w:tc>
        <w:tc>
          <w:tcPr>
            <w:tcW w:w="1061" w:type="dxa"/>
          </w:tcPr>
          <w:p>
            <w:r>
              <w:rPr>
                <w:rFonts w:hint="eastAsia" w:ascii="楷体_GB2312" w:hAnsi="楷体_GB2312" w:eastAsia="楷体_GB2312" w:cs="楷体_GB2312"/>
                <w:b/>
                <w:bCs/>
                <w:color w:val="000000" w:themeColor="text1"/>
                <w:sz w:val="28"/>
                <w:szCs w:val="28"/>
                <w14:textFill>
                  <w14:solidFill>
                    <w14:schemeClr w14:val="tx1"/>
                  </w14:solidFill>
                </w14:textFill>
              </w:rPr>
              <w:t>机电系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2</w:t>
            </w:r>
          </w:p>
        </w:tc>
        <w:tc>
          <w:tcPr>
            <w:tcW w:w="1346" w:type="dxa"/>
          </w:tcPr>
          <w:p>
            <w:r>
              <w:rPr>
                <w:rFonts w:hint="eastAsia" w:ascii="宋体" w:hAnsi="宋体" w:eastAsia="宋体" w:cs="宋体"/>
                <w:color w:val="000000"/>
                <w:kern w:val="0"/>
                <w:sz w:val="18"/>
                <w:szCs w:val="18"/>
                <w:lang w:bidi="ar"/>
              </w:rPr>
              <w:t>1</w:t>
            </w:r>
            <w:r>
              <w:rPr>
                <w:rFonts w:ascii="宋体" w:hAnsi="宋体" w:eastAsia="宋体" w:cs="宋体"/>
                <w:color w:val="000000"/>
                <w:kern w:val="0"/>
                <w:sz w:val="18"/>
                <w:szCs w:val="18"/>
                <w:lang w:bidi="ar"/>
              </w:rPr>
              <w:t>4501153300</w:t>
            </w:r>
          </w:p>
        </w:tc>
        <w:tc>
          <w:tcPr>
            <w:tcW w:w="2135"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顶岗实习</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43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70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52</w:t>
            </w:r>
          </w:p>
        </w:tc>
        <w:tc>
          <w:tcPr>
            <w:tcW w:w="70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1560</w:t>
            </w:r>
          </w:p>
        </w:tc>
        <w:tc>
          <w:tcPr>
            <w:tcW w:w="494"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640"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r>
              <w:rPr>
                <w:rFonts w:ascii="宋体" w:hAnsi="宋体" w:eastAsia="宋体" w:cs="宋体"/>
                <w:bCs/>
                <w:color w:val="000000" w:themeColor="text1"/>
                <w:kern w:val="0"/>
                <w:szCs w:val="21"/>
                <w14:textFill>
                  <w14:solidFill>
                    <w14:schemeClr w14:val="tx1"/>
                  </w14:solidFill>
                </w14:textFill>
              </w:rPr>
              <w:t>560</w:t>
            </w:r>
          </w:p>
        </w:tc>
        <w:tc>
          <w:tcPr>
            <w:tcW w:w="465"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14:textFill>
                  <w14:solidFill>
                    <w14:schemeClr w14:val="tx1"/>
                  </w14:solidFill>
                </w14:textFill>
              </w:rPr>
              <w:t>√</w:t>
            </w: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14:textFill>
                  <w14:solidFill>
                    <w14:schemeClr w14:val="tx1"/>
                  </w14:solidFill>
                </w14:textFill>
              </w:rPr>
              <w:t>√</w:t>
            </w:r>
          </w:p>
        </w:tc>
        <w:tc>
          <w:tcPr>
            <w:tcW w:w="386"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14:textFill>
                  <w14:solidFill>
                    <w14:schemeClr w14:val="tx1"/>
                  </w14:solidFill>
                </w14:textFill>
              </w:rPr>
              <w:t>D</w:t>
            </w:r>
          </w:p>
        </w:tc>
        <w:tc>
          <w:tcPr>
            <w:tcW w:w="1061" w:type="dxa"/>
          </w:tcPr>
          <w:p>
            <w:r>
              <w:rPr>
                <w:rFonts w:hint="eastAsia" w:ascii="楷体_GB2312" w:hAnsi="楷体_GB2312" w:eastAsia="楷体_GB2312" w:cs="楷体_GB2312"/>
                <w:b/>
                <w:bCs/>
                <w:color w:val="000000" w:themeColor="text1"/>
                <w:sz w:val="28"/>
                <w:szCs w:val="28"/>
                <w14:textFill>
                  <w14:solidFill>
                    <w14:schemeClr w14:val="tx1"/>
                  </w14:solidFill>
                </w14:textFill>
              </w:rPr>
              <w:t>机电系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617" w:type="dxa"/>
            <w:gridSpan w:val="6"/>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专业必修课小计</w:t>
            </w:r>
          </w:p>
        </w:tc>
        <w:tc>
          <w:tcPr>
            <w:tcW w:w="70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 w:val="18"/>
                <w:szCs w:val="18"/>
                <w14:textFill>
                  <w14:solidFill>
                    <w14:schemeClr w14:val="tx1"/>
                  </w14:solidFill>
                </w14:textFill>
              </w:rPr>
              <w:t>102</w:t>
            </w:r>
          </w:p>
        </w:tc>
        <w:tc>
          <w:tcPr>
            <w:tcW w:w="70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2360</w:t>
            </w:r>
          </w:p>
        </w:tc>
        <w:tc>
          <w:tcPr>
            <w:tcW w:w="494"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 w:val="18"/>
                <w:szCs w:val="18"/>
                <w14:textFill>
                  <w14:solidFill>
                    <w14:schemeClr w14:val="tx1"/>
                  </w14:solidFill>
                </w14:textFill>
              </w:rPr>
              <w:t>464</w:t>
            </w:r>
          </w:p>
        </w:tc>
        <w:tc>
          <w:tcPr>
            <w:tcW w:w="640"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1896</w:t>
            </w:r>
          </w:p>
        </w:tc>
        <w:tc>
          <w:tcPr>
            <w:tcW w:w="465"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8</w:t>
            </w:r>
          </w:p>
        </w:tc>
        <w:tc>
          <w:tcPr>
            <w:tcW w:w="583" w:type="dxa"/>
            <w:shd w:val="clear" w:color="auto" w:fill="8DB3E2" w:themeFill="text2" w:themeFillTint="66"/>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8</w:t>
            </w:r>
          </w:p>
        </w:tc>
        <w:tc>
          <w:tcPr>
            <w:tcW w:w="58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16</w:t>
            </w:r>
          </w:p>
        </w:tc>
        <w:tc>
          <w:tcPr>
            <w:tcW w:w="58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18</w:t>
            </w:r>
          </w:p>
        </w:tc>
        <w:tc>
          <w:tcPr>
            <w:tcW w:w="58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w:t>
            </w:r>
            <w:r>
              <w:rPr>
                <w:rFonts w:ascii="宋体" w:hAnsi="宋体" w:eastAsia="宋体" w:cs="宋体"/>
                <w:bCs/>
                <w:color w:val="000000" w:themeColor="text1"/>
                <w:kern w:val="0"/>
                <w:szCs w:val="21"/>
                <w14:textFill>
                  <w14:solidFill>
                    <w14:schemeClr w14:val="tx1"/>
                  </w14:solidFill>
                </w14:textFill>
              </w:rPr>
              <w:t>0</w:t>
            </w:r>
          </w:p>
        </w:tc>
        <w:tc>
          <w:tcPr>
            <w:tcW w:w="588" w:type="dxa"/>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w:t>
            </w:r>
            <w:r>
              <w:rPr>
                <w:rFonts w:ascii="宋体" w:hAnsi="宋体" w:eastAsia="宋体" w:cs="宋体"/>
                <w:bCs/>
                <w:color w:val="000000" w:themeColor="text1"/>
                <w:kern w:val="0"/>
                <w:szCs w:val="21"/>
                <w14:textFill>
                  <w14:solidFill>
                    <w14:schemeClr w14:val="tx1"/>
                  </w14:solidFill>
                </w14:textFill>
              </w:rPr>
              <w:t>0</w:t>
            </w:r>
          </w:p>
        </w:tc>
        <w:tc>
          <w:tcPr>
            <w:tcW w:w="386" w:type="dxa"/>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1061" w:type="dxa"/>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1312" w:type="dxa"/>
          </w:tcPr>
          <w:p>
            <w:pPr>
              <w:jc w:val="center"/>
              <w:textAlignment w:val="center"/>
              <w:rPr>
                <w:rFonts w:ascii="宋体" w:hAnsi="宋体" w:eastAsia="宋体" w:cs="宋体"/>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restart"/>
            <w:textDirection w:val="tbRlV"/>
            <w:vAlign w:val="center"/>
          </w:tcPr>
          <w:p>
            <w:pPr>
              <w:pStyle w:val="84"/>
              <w:ind w:left="113" w:right="113"/>
              <w:outlineLvl w:val="1"/>
              <w:rPr>
                <w:rFonts w:cs="宋体"/>
                <w:b w:val="0"/>
                <w:color w:val="000000" w:themeColor="text1"/>
                <w:kern w:val="0"/>
                <w:sz w:val="21"/>
                <w:szCs w:val="21"/>
                <w14:textFill>
                  <w14:solidFill>
                    <w14:schemeClr w14:val="tx1"/>
                  </w14:solidFill>
                </w14:textFill>
              </w:rPr>
            </w:pPr>
            <w:r>
              <w:rPr>
                <w:rFonts w:hint="eastAsia" w:cs="宋体"/>
                <w:b w:val="0"/>
                <w:color w:val="000000" w:themeColor="text1"/>
                <w:kern w:val="0"/>
                <w:sz w:val="21"/>
                <w:szCs w:val="21"/>
                <w14:textFill>
                  <w14:solidFill>
                    <w14:schemeClr w14:val="tx1"/>
                  </w14:solidFill>
                </w14:textFill>
              </w:rPr>
              <w:t>专  业 （技  能） 课</w:t>
            </w:r>
          </w:p>
        </w:tc>
        <w:tc>
          <w:tcPr>
            <w:tcW w:w="475" w:type="dxa"/>
            <w:vMerge w:val="restart"/>
            <w:vAlign w:val="center"/>
          </w:tcPr>
          <w:p>
            <w:pPr>
              <w:pStyle w:val="84"/>
              <w:outlineLvl w:val="1"/>
              <w:rPr>
                <w:rFonts w:cs="宋体"/>
                <w:b w:val="0"/>
                <w:bCs/>
                <w:color w:val="000000" w:themeColor="text1"/>
                <w:sz w:val="21"/>
                <w:szCs w:val="21"/>
                <w14:textFill>
                  <w14:solidFill>
                    <w14:schemeClr w14:val="tx1"/>
                  </w14:solidFill>
                </w14:textFill>
              </w:rPr>
            </w:pPr>
            <w:r>
              <w:rPr>
                <w:rFonts w:hint="eastAsia" w:cs="宋体"/>
                <w:b w:val="0"/>
                <w:bCs/>
                <w:color w:val="000000" w:themeColor="text1"/>
                <w:sz w:val="21"/>
                <w:szCs w:val="21"/>
                <w14:textFill>
                  <w14:solidFill>
                    <w14:schemeClr w14:val="tx1"/>
                  </w14:solidFill>
                </w14:textFill>
              </w:rPr>
              <w:t>专业选修课</w:t>
            </w:r>
          </w:p>
        </w:tc>
        <w:tc>
          <w:tcPr>
            <w:tcW w:w="535"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346" w:type="dxa"/>
          </w:tcPr>
          <w:p>
            <w:pPr>
              <w:rPr>
                <w:sz w:val="20"/>
                <w:szCs w:val="21"/>
              </w:rPr>
            </w:pPr>
            <w:r>
              <w:rPr>
                <w:rFonts w:hint="eastAsia"/>
                <w:sz w:val="20"/>
                <w:szCs w:val="21"/>
              </w:rPr>
              <w:t>1450115</w:t>
            </w:r>
            <w:r>
              <w:rPr>
                <w:sz w:val="20"/>
                <w:szCs w:val="21"/>
              </w:rPr>
              <w:t>2</w:t>
            </w:r>
            <w:r>
              <w:rPr>
                <w:rFonts w:hint="eastAsia"/>
                <w:sz w:val="20"/>
                <w:szCs w:val="21"/>
              </w:rPr>
              <w:t>00</w:t>
            </w:r>
            <w:r>
              <w:rPr>
                <w:sz w:val="20"/>
                <w:szCs w:val="21"/>
              </w:rPr>
              <w:t>1</w:t>
            </w:r>
          </w:p>
        </w:tc>
        <w:tc>
          <w:tcPr>
            <w:tcW w:w="2135" w:type="dxa"/>
          </w:tcPr>
          <w:p>
            <w:r>
              <w:rPr>
                <w:rFonts w:hint="eastAsia"/>
              </w:rPr>
              <w:t>安全用电</w:t>
            </w:r>
          </w:p>
        </w:tc>
        <w:tc>
          <w:tcPr>
            <w:tcW w:w="693" w:type="dxa"/>
          </w:tcPr>
          <w:p>
            <w:r>
              <w:rPr>
                <w:rFonts w:hint="eastAsia"/>
              </w:rPr>
              <w:t>A</w:t>
            </w:r>
          </w:p>
        </w:tc>
        <w:tc>
          <w:tcPr>
            <w:tcW w:w="433" w:type="dxa"/>
          </w:tcPr>
          <w:p/>
        </w:tc>
        <w:tc>
          <w:tcPr>
            <w:tcW w:w="708" w:type="dxa"/>
            <w:vAlign w:val="center"/>
          </w:tcPr>
          <w:p>
            <w:pP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4</w:t>
            </w:r>
          </w:p>
        </w:tc>
        <w:tc>
          <w:tcPr>
            <w:tcW w:w="709" w:type="dxa"/>
            <w:vAlign w:val="center"/>
          </w:tcPr>
          <w:p>
            <w:pP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64</w:t>
            </w:r>
          </w:p>
        </w:tc>
        <w:tc>
          <w:tcPr>
            <w:tcW w:w="494" w:type="dxa"/>
            <w:vAlign w:val="center"/>
          </w:tcPr>
          <w:p>
            <w:pP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64</w:t>
            </w:r>
          </w:p>
        </w:tc>
        <w:tc>
          <w:tcPr>
            <w:tcW w:w="640" w:type="dxa"/>
            <w:vAlign w:val="center"/>
          </w:tcPr>
          <w:p>
            <w:pP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465" w:type="dxa"/>
          </w:tcPr>
          <w:p>
            <w:r>
              <w:rPr>
                <w:rFonts w:hint="eastAsia"/>
              </w:rPr>
              <w:t>√</w:t>
            </w:r>
          </w:p>
        </w:tc>
        <w:tc>
          <w:tcPr>
            <w:tcW w:w="583" w:type="dxa"/>
          </w:tcPr>
          <w:p/>
        </w:tc>
        <w:tc>
          <w:tcPr>
            <w:tcW w:w="583" w:type="dxa"/>
          </w:tcPr>
          <w:p/>
        </w:tc>
        <w:tc>
          <w:tcPr>
            <w:tcW w:w="583" w:type="dxa"/>
          </w:tcPr>
          <w:p/>
        </w:tc>
        <w:tc>
          <w:tcPr>
            <w:tcW w:w="583" w:type="dxa"/>
          </w:tcPr>
          <w:p/>
        </w:tc>
        <w:tc>
          <w:tcPr>
            <w:tcW w:w="588" w:type="dxa"/>
          </w:tcPr>
          <w:p/>
        </w:tc>
        <w:tc>
          <w:tcPr>
            <w:tcW w:w="386" w:type="dxa"/>
          </w:tcPr>
          <w:p>
            <w:r>
              <w:rPr>
                <w:rFonts w:hint="eastAsia"/>
              </w:rPr>
              <w:t>B</w:t>
            </w:r>
          </w:p>
        </w:tc>
        <w:tc>
          <w:tcPr>
            <w:tcW w:w="1061" w:type="dxa"/>
          </w:tcPr>
          <w:p>
            <w:pPr>
              <w:rPr>
                <w:rFonts w:ascii="楷体_GB2312" w:hAnsi="楷体_GB2312" w:eastAsia="楷体_GB2312" w:cs="楷体_GB2312"/>
                <w:b/>
                <w:bCs/>
                <w:color w:val="000000" w:themeColor="text1"/>
                <w:sz w:val="28"/>
                <w:szCs w:val="28"/>
                <w14:textFill>
                  <w14:solidFill>
                    <w14:schemeClr w14:val="tx1"/>
                  </w14:solidFill>
                </w14:textFill>
              </w:rPr>
            </w:pP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extDirection w:val="tbRlV"/>
            <w:vAlign w:val="center"/>
          </w:tcPr>
          <w:p>
            <w:pPr>
              <w:pStyle w:val="84"/>
              <w:ind w:left="113" w:right="113"/>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2</w:t>
            </w:r>
          </w:p>
        </w:tc>
        <w:tc>
          <w:tcPr>
            <w:tcW w:w="1346" w:type="dxa"/>
          </w:tcPr>
          <w:p>
            <w:pPr>
              <w:rPr>
                <w:sz w:val="20"/>
                <w:szCs w:val="21"/>
              </w:rPr>
            </w:pPr>
            <w:r>
              <w:rPr>
                <w:rFonts w:hint="eastAsia"/>
                <w:sz w:val="20"/>
                <w:szCs w:val="21"/>
              </w:rPr>
              <w:t>1450115</w:t>
            </w:r>
            <w:r>
              <w:rPr>
                <w:sz w:val="20"/>
                <w:szCs w:val="21"/>
              </w:rPr>
              <w:t>2</w:t>
            </w:r>
            <w:r>
              <w:rPr>
                <w:rFonts w:hint="eastAsia"/>
                <w:sz w:val="20"/>
                <w:szCs w:val="21"/>
              </w:rPr>
              <w:t>00</w:t>
            </w:r>
            <w:r>
              <w:rPr>
                <w:sz w:val="20"/>
                <w:szCs w:val="21"/>
              </w:rPr>
              <w:t>2</w:t>
            </w:r>
          </w:p>
        </w:tc>
        <w:tc>
          <w:tcPr>
            <w:tcW w:w="2135" w:type="dxa"/>
          </w:tcPr>
          <w:p>
            <w:r>
              <w:rPr>
                <w:rFonts w:hint="eastAsia"/>
              </w:rPr>
              <w:t>电力拖动</w:t>
            </w:r>
          </w:p>
        </w:tc>
        <w:tc>
          <w:tcPr>
            <w:tcW w:w="693" w:type="dxa"/>
          </w:tcPr>
          <w:p>
            <w:r>
              <w:rPr>
                <w:rFonts w:hint="eastAsia"/>
              </w:rPr>
              <w:t>C</w:t>
            </w:r>
          </w:p>
        </w:tc>
        <w:tc>
          <w:tcPr>
            <w:tcW w:w="433" w:type="dxa"/>
          </w:tcPr>
          <w:p/>
        </w:tc>
        <w:tc>
          <w:tcPr>
            <w:tcW w:w="708" w:type="dxa"/>
            <w:vAlign w:val="center"/>
          </w:tcPr>
          <w:p>
            <w:r>
              <w:rPr>
                <w:rFonts w:hint="eastAsia" w:ascii="宋体" w:hAnsi="宋体" w:eastAsia="宋体" w:cs="宋体"/>
                <w:bCs/>
                <w:color w:val="000000" w:themeColor="text1"/>
                <w:kern w:val="0"/>
                <w:szCs w:val="21"/>
                <w14:textFill>
                  <w14:solidFill>
                    <w14:schemeClr w14:val="tx1"/>
                  </w14:solidFill>
                </w14:textFill>
              </w:rPr>
              <w:t>4</w:t>
            </w:r>
          </w:p>
        </w:tc>
        <w:tc>
          <w:tcPr>
            <w:tcW w:w="709" w:type="dxa"/>
            <w:vAlign w:val="center"/>
          </w:tcPr>
          <w:p>
            <w:r>
              <w:rPr>
                <w:rFonts w:hint="eastAsia" w:ascii="宋体" w:hAnsi="宋体" w:eastAsia="宋体" w:cs="宋体"/>
                <w:bCs/>
                <w:color w:val="000000" w:themeColor="text1"/>
                <w:kern w:val="0"/>
                <w:szCs w:val="21"/>
                <w14:textFill>
                  <w14:solidFill>
                    <w14:schemeClr w14:val="tx1"/>
                  </w14:solidFill>
                </w14:textFill>
              </w:rPr>
              <w:t>6</w:t>
            </w:r>
            <w:r>
              <w:rPr>
                <w:rFonts w:ascii="宋体" w:hAnsi="宋体" w:eastAsia="宋体" w:cs="宋体"/>
                <w:bCs/>
                <w:color w:val="000000" w:themeColor="text1"/>
                <w:kern w:val="0"/>
                <w:szCs w:val="21"/>
                <w14:textFill>
                  <w14:solidFill>
                    <w14:schemeClr w14:val="tx1"/>
                  </w14:solidFill>
                </w14:textFill>
              </w:rPr>
              <w:t>4</w:t>
            </w:r>
          </w:p>
        </w:tc>
        <w:tc>
          <w:tcPr>
            <w:tcW w:w="494" w:type="dxa"/>
            <w:vAlign w:val="center"/>
          </w:tcPr>
          <w:p>
            <w:r>
              <w:rPr>
                <w:rFonts w:ascii="宋体" w:hAnsi="宋体" w:eastAsia="宋体" w:cs="宋体"/>
                <w:bCs/>
                <w:color w:val="000000" w:themeColor="text1"/>
                <w:kern w:val="0"/>
                <w:szCs w:val="21"/>
                <w14:textFill>
                  <w14:solidFill>
                    <w14:schemeClr w14:val="tx1"/>
                  </w14:solidFill>
                </w14:textFill>
              </w:rPr>
              <w:t>0</w:t>
            </w:r>
          </w:p>
        </w:tc>
        <w:tc>
          <w:tcPr>
            <w:tcW w:w="640" w:type="dxa"/>
            <w:vAlign w:val="center"/>
          </w:tcPr>
          <w:p>
            <w:r>
              <w:rPr>
                <w:rFonts w:hint="eastAsia" w:ascii="宋体" w:hAnsi="宋体" w:eastAsia="宋体" w:cs="宋体"/>
                <w:bCs/>
                <w:color w:val="000000" w:themeColor="text1"/>
                <w:kern w:val="0"/>
                <w:szCs w:val="21"/>
                <w14:textFill>
                  <w14:solidFill>
                    <w14:schemeClr w14:val="tx1"/>
                  </w14:solidFill>
                </w14:textFill>
              </w:rPr>
              <w:t>6</w:t>
            </w:r>
            <w:r>
              <w:rPr>
                <w:rFonts w:ascii="宋体" w:hAnsi="宋体" w:eastAsia="宋体" w:cs="宋体"/>
                <w:bCs/>
                <w:color w:val="000000" w:themeColor="text1"/>
                <w:kern w:val="0"/>
                <w:szCs w:val="21"/>
                <w14:textFill>
                  <w14:solidFill>
                    <w14:schemeClr w14:val="tx1"/>
                  </w14:solidFill>
                </w14:textFill>
              </w:rPr>
              <w:t>4</w:t>
            </w:r>
          </w:p>
        </w:tc>
        <w:tc>
          <w:tcPr>
            <w:tcW w:w="465" w:type="dxa"/>
          </w:tcPr>
          <w:p/>
        </w:tc>
        <w:tc>
          <w:tcPr>
            <w:tcW w:w="583" w:type="dxa"/>
          </w:tcPr>
          <w:p>
            <w:r>
              <w:rPr>
                <w:rFonts w:hint="eastAsia"/>
              </w:rPr>
              <w:t>√</w:t>
            </w:r>
          </w:p>
        </w:tc>
        <w:tc>
          <w:tcPr>
            <w:tcW w:w="583" w:type="dxa"/>
          </w:tcPr>
          <w:p/>
        </w:tc>
        <w:tc>
          <w:tcPr>
            <w:tcW w:w="583" w:type="dxa"/>
          </w:tcPr>
          <w:p/>
        </w:tc>
        <w:tc>
          <w:tcPr>
            <w:tcW w:w="583" w:type="dxa"/>
          </w:tcPr>
          <w:p/>
        </w:tc>
        <w:tc>
          <w:tcPr>
            <w:tcW w:w="588" w:type="dxa"/>
          </w:tcPr>
          <w:p/>
        </w:tc>
        <w:tc>
          <w:tcPr>
            <w:tcW w:w="386" w:type="dxa"/>
          </w:tcPr>
          <w:p>
            <w:r>
              <w:rPr>
                <w:rFonts w:hint="eastAsia"/>
              </w:rPr>
              <w:t>C</w:t>
            </w:r>
          </w:p>
        </w:tc>
        <w:tc>
          <w:tcPr>
            <w:tcW w:w="1061" w:type="dxa"/>
          </w:tcPr>
          <w:p>
            <w:r>
              <w:rPr>
                <w:rFonts w:hint="eastAsia" w:ascii="楷体_GB2312" w:hAnsi="楷体_GB2312" w:eastAsia="楷体_GB2312" w:cs="楷体_GB2312"/>
                <w:b/>
                <w:bCs/>
                <w:color w:val="000000" w:themeColor="text1"/>
                <w:sz w:val="28"/>
                <w:szCs w:val="28"/>
                <w14:textFill>
                  <w14:solidFill>
                    <w14:schemeClr w14:val="tx1"/>
                  </w14:solidFill>
                </w14:textFill>
              </w:rPr>
              <w:t>机电系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bidi="ar"/>
              </w:rPr>
              <w:t>3</w:t>
            </w:r>
          </w:p>
        </w:tc>
        <w:tc>
          <w:tcPr>
            <w:tcW w:w="1346" w:type="dxa"/>
          </w:tcPr>
          <w:p>
            <w:pPr>
              <w:rPr>
                <w:sz w:val="20"/>
                <w:szCs w:val="21"/>
              </w:rPr>
            </w:pPr>
            <w:r>
              <w:rPr>
                <w:rFonts w:hint="eastAsia"/>
                <w:sz w:val="20"/>
                <w:szCs w:val="21"/>
              </w:rPr>
              <w:t>1450115</w:t>
            </w:r>
            <w:r>
              <w:rPr>
                <w:sz w:val="20"/>
                <w:szCs w:val="21"/>
              </w:rPr>
              <w:t>2</w:t>
            </w:r>
            <w:r>
              <w:rPr>
                <w:rFonts w:hint="eastAsia"/>
                <w:sz w:val="20"/>
                <w:szCs w:val="21"/>
              </w:rPr>
              <w:t>00</w:t>
            </w:r>
            <w:r>
              <w:rPr>
                <w:sz w:val="20"/>
                <w:szCs w:val="21"/>
              </w:rPr>
              <w:t>3</w:t>
            </w:r>
          </w:p>
        </w:tc>
        <w:tc>
          <w:tcPr>
            <w:tcW w:w="2135" w:type="dxa"/>
          </w:tcPr>
          <w:p>
            <w:r>
              <w:rPr>
                <w:rFonts w:hint="eastAsia"/>
              </w:rPr>
              <w:t>热工仪表与测量</w:t>
            </w:r>
          </w:p>
        </w:tc>
        <w:tc>
          <w:tcPr>
            <w:tcW w:w="693" w:type="dxa"/>
          </w:tcPr>
          <w:p>
            <w:r>
              <w:rPr>
                <w:rFonts w:hint="eastAsia"/>
              </w:rPr>
              <w:t>B</w:t>
            </w:r>
          </w:p>
        </w:tc>
        <w:tc>
          <w:tcPr>
            <w:tcW w:w="433" w:type="dxa"/>
          </w:tcPr>
          <w:p/>
        </w:tc>
        <w:tc>
          <w:tcPr>
            <w:tcW w:w="708" w:type="dxa"/>
            <w:vAlign w:val="center"/>
          </w:tcPr>
          <w:p>
            <w:r>
              <w:rPr>
                <w:rFonts w:hint="eastAsia" w:ascii="宋体" w:hAnsi="宋体" w:eastAsia="宋体" w:cs="宋体"/>
                <w:bCs/>
                <w:color w:val="000000" w:themeColor="text1"/>
                <w:kern w:val="0"/>
                <w:szCs w:val="21"/>
                <w14:textFill>
                  <w14:solidFill>
                    <w14:schemeClr w14:val="tx1"/>
                  </w14:solidFill>
                </w14:textFill>
              </w:rPr>
              <w:t>4</w:t>
            </w:r>
          </w:p>
        </w:tc>
        <w:tc>
          <w:tcPr>
            <w:tcW w:w="709" w:type="dxa"/>
            <w:vAlign w:val="center"/>
          </w:tcPr>
          <w:p>
            <w:r>
              <w:rPr>
                <w:rFonts w:hint="eastAsia" w:ascii="宋体" w:hAnsi="宋体" w:eastAsia="宋体" w:cs="宋体"/>
                <w:bCs/>
                <w:color w:val="000000" w:themeColor="text1"/>
                <w:kern w:val="0"/>
                <w:szCs w:val="21"/>
                <w14:textFill>
                  <w14:solidFill>
                    <w14:schemeClr w14:val="tx1"/>
                  </w14:solidFill>
                </w14:textFill>
              </w:rPr>
              <w:t>6</w:t>
            </w:r>
            <w:r>
              <w:rPr>
                <w:rFonts w:ascii="宋体" w:hAnsi="宋体" w:eastAsia="宋体" w:cs="宋体"/>
                <w:bCs/>
                <w:color w:val="000000" w:themeColor="text1"/>
                <w:kern w:val="0"/>
                <w:szCs w:val="21"/>
                <w14:textFill>
                  <w14:solidFill>
                    <w14:schemeClr w14:val="tx1"/>
                  </w14:solidFill>
                </w14:textFill>
              </w:rPr>
              <w:t>4</w:t>
            </w:r>
          </w:p>
        </w:tc>
        <w:tc>
          <w:tcPr>
            <w:tcW w:w="494" w:type="dxa"/>
            <w:vAlign w:val="center"/>
          </w:tcPr>
          <w:p>
            <w:r>
              <w:rPr>
                <w:rFonts w:ascii="宋体" w:hAnsi="宋体" w:eastAsia="宋体" w:cs="宋体"/>
                <w:bCs/>
                <w:color w:val="000000" w:themeColor="text1"/>
                <w:kern w:val="0"/>
                <w:szCs w:val="21"/>
                <w14:textFill>
                  <w14:solidFill>
                    <w14:schemeClr w14:val="tx1"/>
                  </w14:solidFill>
                </w14:textFill>
              </w:rPr>
              <w:t>32</w:t>
            </w:r>
          </w:p>
        </w:tc>
        <w:tc>
          <w:tcPr>
            <w:tcW w:w="640" w:type="dxa"/>
            <w:vAlign w:val="center"/>
          </w:tcPr>
          <w:p>
            <w:r>
              <w:rPr>
                <w:rFonts w:ascii="宋体" w:hAnsi="宋体" w:eastAsia="宋体" w:cs="宋体"/>
                <w:bCs/>
                <w:color w:val="000000" w:themeColor="text1"/>
                <w:kern w:val="0"/>
                <w:szCs w:val="21"/>
                <w14:textFill>
                  <w14:solidFill>
                    <w14:schemeClr w14:val="tx1"/>
                  </w14:solidFill>
                </w14:textFill>
              </w:rPr>
              <w:t>32</w:t>
            </w:r>
          </w:p>
        </w:tc>
        <w:tc>
          <w:tcPr>
            <w:tcW w:w="465" w:type="dxa"/>
          </w:tcPr>
          <w:p/>
        </w:tc>
        <w:tc>
          <w:tcPr>
            <w:tcW w:w="583" w:type="dxa"/>
          </w:tcPr>
          <w:p/>
        </w:tc>
        <w:tc>
          <w:tcPr>
            <w:tcW w:w="583" w:type="dxa"/>
          </w:tcPr>
          <w:p>
            <w:r>
              <w:rPr>
                <w:rFonts w:hint="eastAsia"/>
              </w:rPr>
              <w:t>√</w:t>
            </w:r>
          </w:p>
        </w:tc>
        <w:tc>
          <w:tcPr>
            <w:tcW w:w="583" w:type="dxa"/>
          </w:tcPr>
          <w:p/>
        </w:tc>
        <w:tc>
          <w:tcPr>
            <w:tcW w:w="583" w:type="dxa"/>
          </w:tcPr>
          <w:p/>
        </w:tc>
        <w:tc>
          <w:tcPr>
            <w:tcW w:w="588" w:type="dxa"/>
          </w:tcPr>
          <w:p/>
        </w:tc>
        <w:tc>
          <w:tcPr>
            <w:tcW w:w="386" w:type="dxa"/>
          </w:tcPr>
          <w:p>
            <w:r>
              <w:rPr>
                <w:rFonts w:hint="eastAsia"/>
              </w:rPr>
              <w:t>B</w:t>
            </w:r>
          </w:p>
        </w:tc>
        <w:tc>
          <w:tcPr>
            <w:tcW w:w="1061" w:type="dxa"/>
          </w:tcPr>
          <w:p>
            <w:r>
              <w:rPr>
                <w:rFonts w:hint="eastAsia" w:ascii="楷体_GB2312" w:hAnsi="楷体_GB2312" w:eastAsia="楷体_GB2312" w:cs="楷体_GB2312"/>
                <w:b/>
                <w:bCs/>
                <w:color w:val="000000" w:themeColor="text1"/>
                <w:sz w:val="28"/>
                <w:szCs w:val="28"/>
                <w14:textFill>
                  <w14:solidFill>
                    <w14:schemeClr w14:val="tx1"/>
                  </w14:solidFill>
                </w14:textFill>
              </w:rPr>
              <w:t>机电系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w:t>
            </w:r>
          </w:p>
        </w:tc>
        <w:tc>
          <w:tcPr>
            <w:tcW w:w="1346" w:type="dxa"/>
          </w:tcPr>
          <w:p>
            <w:pPr>
              <w:rPr>
                <w:sz w:val="20"/>
                <w:szCs w:val="21"/>
              </w:rPr>
            </w:pPr>
            <w:r>
              <w:rPr>
                <w:rFonts w:hint="eastAsia"/>
                <w:sz w:val="20"/>
                <w:szCs w:val="21"/>
              </w:rPr>
              <w:t>1450115</w:t>
            </w:r>
            <w:r>
              <w:rPr>
                <w:sz w:val="20"/>
                <w:szCs w:val="21"/>
              </w:rPr>
              <w:t>2</w:t>
            </w:r>
            <w:r>
              <w:rPr>
                <w:rFonts w:hint="eastAsia"/>
                <w:sz w:val="20"/>
                <w:szCs w:val="21"/>
              </w:rPr>
              <w:t>00</w:t>
            </w:r>
            <w:r>
              <w:rPr>
                <w:sz w:val="20"/>
                <w:szCs w:val="21"/>
              </w:rPr>
              <w:t>4</w:t>
            </w:r>
          </w:p>
        </w:tc>
        <w:tc>
          <w:tcPr>
            <w:tcW w:w="2135" w:type="dxa"/>
          </w:tcPr>
          <w:p>
            <w:r>
              <w:rPr>
                <w:rFonts w:hint="eastAsia"/>
              </w:rPr>
              <w:t>发电厂环保技术</w:t>
            </w:r>
          </w:p>
        </w:tc>
        <w:tc>
          <w:tcPr>
            <w:tcW w:w="693" w:type="dxa"/>
          </w:tcPr>
          <w:p>
            <w:r>
              <w:rPr>
                <w:rFonts w:hint="eastAsia"/>
              </w:rPr>
              <w:t>A</w:t>
            </w:r>
          </w:p>
        </w:tc>
        <w:tc>
          <w:tcPr>
            <w:tcW w:w="433" w:type="dxa"/>
          </w:tcPr>
          <w:p/>
        </w:tc>
        <w:tc>
          <w:tcPr>
            <w:tcW w:w="708" w:type="dxa"/>
            <w:vAlign w:val="center"/>
          </w:tcPr>
          <w:p>
            <w:r>
              <w:rPr>
                <w:rFonts w:hint="eastAsia" w:ascii="宋体" w:hAnsi="宋体" w:eastAsia="宋体" w:cs="宋体"/>
                <w:bCs/>
                <w:color w:val="000000" w:themeColor="text1"/>
                <w:kern w:val="0"/>
                <w:szCs w:val="21"/>
                <w14:textFill>
                  <w14:solidFill>
                    <w14:schemeClr w14:val="tx1"/>
                  </w14:solidFill>
                </w14:textFill>
              </w:rPr>
              <w:t>4</w:t>
            </w:r>
          </w:p>
        </w:tc>
        <w:tc>
          <w:tcPr>
            <w:tcW w:w="709" w:type="dxa"/>
            <w:vAlign w:val="center"/>
          </w:tcPr>
          <w:p>
            <w:r>
              <w:rPr>
                <w:rFonts w:hint="eastAsia" w:ascii="宋体" w:hAnsi="宋体" w:eastAsia="宋体" w:cs="宋体"/>
                <w:bCs/>
                <w:color w:val="000000" w:themeColor="text1"/>
                <w:kern w:val="0"/>
                <w:szCs w:val="21"/>
                <w14:textFill>
                  <w14:solidFill>
                    <w14:schemeClr w14:val="tx1"/>
                  </w14:solidFill>
                </w14:textFill>
              </w:rPr>
              <w:t>6</w:t>
            </w:r>
            <w:r>
              <w:rPr>
                <w:rFonts w:ascii="宋体" w:hAnsi="宋体" w:eastAsia="宋体" w:cs="宋体"/>
                <w:bCs/>
                <w:color w:val="000000" w:themeColor="text1"/>
                <w:kern w:val="0"/>
                <w:szCs w:val="21"/>
                <w14:textFill>
                  <w14:solidFill>
                    <w14:schemeClr w14:val="tx1"/>
                  </w14:solidFill>
                </w14:textFill>
              </w:rPr>
              <w:t>4</w:t>
            </w:r>
          </w:p>
        </w:tc>
        <w:tc>
          <w:tcPr>
            <w:tcW w:w="494" w:type="dxa"/>
            <w:vAlign w:val="center"/>
          </w:tcPr>
          <w:p>
            <w:r>
              <w:rPr>
                <w:rFonts w:ascii="宋体" w:hAnsi="宋体" w:eastAsia="宋体" w:cs="宋体"/>
                <w:bCs/>
                <w:color w:val="000000" w:themeColor="text1"/>
                <w:kern w:val="0"/>
                <w:szCs w:val="21"/>
                <w14:textFill>
                  <w14:solidFill>
                    <w14:schemeClr w14:val="tx1"/>
                  </w14:solidFill>
                </w14:textFill>
              </w:rPr>
              <w:t>6</w:t>
            </w:r>
            <w:r>
              <w:rPr>
                <w:rFonts w:hint="eastAsia" w:ascii="宋体" w:hAnsi="宋体" w:eastAsia="宋体" w:cs="宋体"/>
                <w:bCs/>
                <w:color w:val="000000" w:themeColor="text1"/>
                <w:kern w:val="0"/>
                <w:szCs w:val="21"/>
                <w14:textFill>
                  <w14:solidFill>
                    <w14:schemeClr w14:val="tx1"/>
                  </w14:solidFill>
                </w14:textFill>
              </w:rPr>
              <w:t>4</w:t>
            </w:r>
          </w:p>
        </w:tc>
        <w:tc>
          <w:tcPr>
            <w:tcW w:w="640" w:type="dxa"/>
            <w:vAlign w:val="center"/>
          </w:tcPr>
          <w:p>
            <w:r>
              <w:rPr>
                <w:rFonts w:ascii="宋体" w:hAnsi="宋体" w:eastAsia="宋体" w:cs="宋体"/>
                <w:bCs/>
                <w:color w:val="000000" w:themeColor="text1"/>
                <w:kern w:val="0"/>
                <w:szCs w:val="21"/>
                <w14:textFill>
                  <w14:solidFill>
                    <w14:schemeClr w14:val="tx1"/>
                  </w14:solidFill>
                </w14:textFill>
              </w:rPr>
              <w:t>0</w:t>
            </w:r>
          </w:p>
        </w:tc>
        <w:tc>
          <w:tcPr>
            <w:tcW w:w="465" w:type="dxa"/>
          </w:tcPr>
          <w:p/>
        </w:tc>
        <w:tc>
          <w:tcPr>
            <w:tcW w:w="583" w:type="dxa"/>
          </w:tcPr>
          <w:p/>
        </w:tc>
        <w:tc>
          <w:tcPr>
            <w:tcW w:w="583" w:type="dxa"/>
          </w:tcPr>
          <w:p/>
        </w:tc>
        <w:tc>
          <w:tcPr>
            <w:tcW w:w="583" w:type="dxa"/>
          </w:tcPr>
          <w:p>
            <w:r>
              <w:rPr>
                <w:rFonts w:hint="eastAsia"/>
              </w:rPr>
              <w:t>√</w:t>
            </w:r>
          </w:p>
        </w:tc>
        <w:tc>
          <w:tcPr>
            <w:tcW w:w="583" w:type="dxa"/>
          </w:tcPr>
          <w:p/>
        </w:tc>
        <w:tc>
          <w:tcPr>
            <w:tcW w:w="588" w:type="dxa"/>
          </w:tcPr>
          <w:p/>
        </w:tc>
        <w:tc>
          <w:tcPr>
            <w:tcW w:w="386" w:type="dxa"/>
          </w:tcPr>
          <w:p>
            <w:r>
              <w:rPr>
                <w:rFonts w:hint="eastAsia"/>
              </w:rPr>
              <w:t>B</w:t>
            </w:r>
          </w:p>
        </w:tc>
        <w:tc>
          <w:tcPr>
            <w:tcW w:w="1061" w:type="dxa"/>
          </w:tcPr>
          <w:p>
            <w:r>
              <w:rPr>
                <w:rFonts w:hint="eastAsia" w:ascii="楷体_GB2312" w:hAnsi="楷体_GB2312" w:eastAsia="楷体_GB2312" w:cs="楷体_GB2312"/>
                <w:b/>
                <w:bCs/>
                <w:color w:val="000000" w:themeColor="text1"/>
                <w:sz w:val="28"/>
                <w:szCs w:val="28"/>
                <w14:textFill>
                  <w14:solidFill>
                    <w14:schemeClr w14:val="tx1"/>
                  </w14:solidFill>
                </w14:textFill>
              </w:rPr>
              <w:t>机电系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617" w:type="dxa"/>
            <w:gridSpan w:val="6"/>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专业选修课小计</w:t>
            </w:r>
          </w:p>
        </w:tc>
        <w:tc>
          <w:tcPr>
            <w:tcW w:w="70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r>
              <w:rPr>
                <w:rFonts w:ascii="宋体" w:hAnsi="宋体" w:eastAsia="宋体" w:cs="宋体"/>
                <w:bCs/>
                <w:color w:val="000000" w:themeColor="text1"/>
                <w:kern w:val="0"/>
                <w:szCs w:val="21"/>
                <w14:textFill>
                  <w14:solidFill>
                    <w14:schemeClr w14:val="tx1"/>
                  </w14:solidFill>
                </w14:textFill>
              </w:rPr>
              <w:t>6</w:t>
            </w:r>
          </w:p>
        </w:tc>
        <w:tc>
          <w:tcPr>
            <w:tcW w:w="709"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r>
              <w:rPr>
                <w:rFonts w:ascii="宋体" w:hAnsi="宋体" w:eastAsia="宋体" w:cs="宋体"/>
                <w:bCs/>
                <w:color w:val="000000" w:themeColor="text1"/>
                <w:kern w:val="0"/>
                <w:szCs w:val="21"/>
                <w14:textFill>
                  <w14:solidFill>
                    <w14:schemeClr w14:val="tx1"/>
                  </w14:solidFill>
                </w14:textFill>
              </w:rPr>
              <w:t>56</w:t>
            </w:r>
          </w:p>
        </w:tc>
        <w:tc>
          <w:tcPr>
            <w:tcW w:w="494"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r>
              <w:rPr>
                <w:rFonts w:ascii="宋体" w:hAnsi="宋体" w:eastAsia="宋体" w:cs="宋体"/>
                <w:bCs/>
                <w:color w:val="000000" w:themeColor="text1"/>
                <w:kern w:val="0"/>
                <w:szCs w:val="21"/>
                <w14:textFill>
                  <w14:solidFill>
                    <w14:schemeClr w14:val="tx1"/>
                  </w14:solidFill>
                </w14:textFill>
              </w:rPr>
              <w:t>60</w:t>
            </w:r>
          </w:p>
        </w:tc>
        <w:tc>
          <w:tcPr>
            <w:tcW w:w="640"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9</w:t>
            </w:r>
            <w:r>
              <w:rPr>
                <w:rFonts w:ascii="宋体" w:hAnsi="宋体" w:eastAsia="宋体" w:cs="宋体"/>
                <w:bCs/>
                <w:color w:val="000000" w:themeColor="text1"/>
                <w:kern w:val="0"/>
                <w:szCs w:val="21"/>
                <w14:textFill>
                  <w14:solidFill>
                    <w14:schemeClr w14:val="tx1"/>
                  </w14:solidFill>
                </w14:textFill>
              </w:rPr>
              <w:t>6</w:t>
            </w:r>
          </w:p>
        </w:tc>
        <w:tc>
          <w:tcPr>
            <w:tcW w:w="465"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4</w:t>
            </w:r>
          </w:p>
        </w:tc>
        <w:tc>
          <w:tcPr>
            <w:tcW w:w="58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w:t>
            </w:r>
          </w:p>
        </w:tc>
        <w:tc>
          <w:tcPr>
            <w:tcW w:w="58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w:t>
            </w:r>
          </w:p>
        </w:tc>
        <w:tc>
          <w:tcPr>
            <w:tcW w:w="58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w:t>
            </w:r>
          </w:p>
        </w:tc>
        <w:tc>
          <w:tcPr>
            <w:tcW w:w="583" w:type="dxa"/>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88" w:type="dxa"/>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386" w:type="dxa"/>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1061" w:type="dxa"/>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1312" w:type="dxa"/>
          </w:tcPr>
          <w:p>
            <w:pPr>
              <w:jc w:val="center"/>
              <w:textAlignment w:val="center"/>
              <w:rPr>
                <w:rFonts w:ascii="宋体" w:hAnsi="宋体" w:eastAsia="宋体" w:cs="宋体"/>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642" w:type="dxa"/>
            <w:gridSpan w:val="11"/>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平均周学时</w:t>
            </w:r>
          </w:p>
        </w:tc>
        <w:tc>
          <w:tcPr>
            <w:tcW w:w="465"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30</w:t>
            </w:r>
          </w:p>
        </w:tc>
        <w:tc>
          <w:tcPr>
            <w:tcW w:w="58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r>
              <w:rPr>
                <w:rFonts w:ascii="宋体" w:hAnsi="宋体" w:eastAsia="宋体" w:cs="宋体"/>
                <w:bCs/>
                <w:color w:val="000000" w:themeColor="text1"/>
                <w:kern w:val="0"/>
                <w:szCs w:val="21"/>
                <w14:textFill>
                  <w14:solidFill>
                    <w14:schemeClr w14:val="tx1"/>
                  </w14:solidFill>
                </w14:textFill>
              </w:rPr>
              <w:t>6</w:t>
            </w:r>
          </w:p>
        </w:tc>
        <w:tc>
          <w:tcPr>
            <w:tcW w:w="58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r>
              <w:rPr>
                <w:rFonts w:ascii="宋体" w:hAnsi="宋体" w:eastAsia="宋体" w:cs="宋体"/>
                <w:bCs/>
                <w:color w:val="000000" w:themeColor="text1"/>
                <w:kern w:val="0"/>
                <w:szCs w:val="21"/>
                <w14:textFill>
                  <w14:solidFill>
                    <w14:schemeClr w14:val="tx1"/>
                  </w14:solidFill>
                </w14:textFill>
              </w:rPr>
              <w:t>4</w:t>
            </w:r>
          </w:p>
        </w:tc>
        <w:tc>
          <w:tcPr>
            <w:tcW w:w="58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r>
              <w:rPr>
                <w:rFonts w:ascii="宋体" w:hAnsi="宋体" w:eastAsia="宋体" w:cs="宋体"/>
                <w:bCs/>
                <w:color w:val="000000" w:themeColor="text1"/>
                <w:kern w:val="0"/>
                <w:szCs w:val="21"/>
                <w14:textFill>
                  <w14:solidFill>
                    <w14:schemeClr w14:val="tx1"/>
                  </w14:solidFill>
                </w14:textFill>
              </w:rPr>
              <w:t>3</w:t>
            </w:r>
          </w:p>
        </w:tc>
        <w:tc>
          <w:tcPr>
            <w:tcW w:w="583" w:type="dxa"/>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1061" w:type="dxa"/>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1312" w:type="dxa"/>
          </w:tcPr>
          <w:p>
            <w:pPr>
              <w:jc w:val="center"/>
              <w:textAlignment w:val="center"/>
              <w:rPr>
                <w:rFonts w:ascii="宋体" w:hAnsi="宋体" w:eastAsia="宋体" w:cs="宋体"/>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091" w:type="dxa"/>
            <w:gridSpan w:val="7"/>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学分总计、学时总计</w:t>
            </w:r>
          </w:p>
        </w:tc>
        <w:tc>
          <w:tcPr>
            <w:tcW w:w="2551" w:type="dxa"/>
            <w:gridSpan w:val="4"/>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r>
              <w:rPr>
                <w:rFonts w:ascii="宋体" w:hAnsi="宋体" w:eastAsia="宋体" w:cs="宋体"/>
                <w:bCs/>
                <w:color w:val="000000" w:themeColor="text1"/>
                <w:kern w:val="0"/>
                <w:szCs w:val="21"/>
                <w14:textFill>
                  <w14:solidFill>
                    <w14:schemeClr w14:val="tx1"/>
                  </w14:solidFill>
                </w14:textFill>
              </w:rPr>
              <w:t>66</w:t>
            </w:r>
          </w:p>
        </w:tc>
        <w:tc>
          <w:tcPr>
            <w:tcW w:w="2214" w:type="dxa"/>
            <w:gridSpan w:val="4"/>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w:t>
            </w:r>
            <w:r>
              <w:rPr>
                <w:rFonts w:ascii="宋体" w:hAnsi="宋体" w:eastAsia="宋体" w:cs="宋体"/>
                <w:bCs/>
                <w:color w:val="000000" w:themeColor="text1"/>
                <w:kern w:val="0"/>
                <w:szCs w:val="21"/>
                <w14:textFill>
                  <w14:solidFill>
                    <w14:schemeClr w14:val="tx1"/>
                  </w14:solidFill>
                </w14:textFill>
              </w:rPr>
              <w:t>414</w:t>
            </w:r>
          </w:p>
        </w:tc>
        <w:tc>
          <w:tcPr>
            <w:tcW w:w="2618" w:type="dxa"/>
            <w:gridSpan w:val="4"/>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1312" w:type="dxa"/>
          </w:tcPr>
          <w:p>
            <w:pPr>
              <w:jc w:val="center"/>
              <w:textAlignment w:val="center"/>
              <w:rPr>
                <w:rFonts w:ascii="宋体" w:hAnsi="宋体" w:eastAsia="宋体" w:cs="宋体"/>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091" w:type="dxa"/>
            <w:gridSpan w:val="7"/>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选修课程：学分总计、学时总计、占总学时比例</w:t>
            </w:r>
          </w:p>
        </w:tc>
        <w:tc>
          <w:tcPr>
            <w:tcW w:w="2551" w:type="dxa"/>
            <w:gridSpan w:val="4"/>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r>
              <w:rPr>
                <w:rFonts w:ascii="宋体" w:hAnsi="宋体" w:eastAsia="宋体" w:cs="宋体"/>
                <w:bCs/>
                <w:color w:val="000000" w:themeColor="text1"/>
                <w:kern w:val="0"/>
                <w:szCs w:val="21"/>
                <w14:textFill>
                  <w14:solidFill>
                    <w14:schemeClr w14:val="tx1"/>
                  </w14:solidFill>
                </w14:textFill>
              </w:rPr>
              <w:t>2</w:t>
            </w:r>
          </w:p>
        </w:tc>
        <w:tc>
          <w:tcPr>
            <w:tcW w:w="2214" w:type="dxa"/>
            <w:gridSpan w:val="4"/>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w:t>
            </w:r>
            <w:r>
              <w:rPr>
                <w:rFonts w:ascii="宋体" w:hAnsi="宋体" w:eastAsia="宋体" w:cs="宋体"/>
                <w:bCs/>
                <w:color w:val="000000" w:themeColor="text1"/>
                <w:kern w:val="0"/>
                <w:szCs w:val="21"/>
                <w14:textFill>
                  <w14:solidFill>
                    <w14:schemeClr w14:val="tx1"/>
                  </w14:solidFill>
                </w14:textFill>
              </w:rPr>
              <w:t>52</w:t>
            </w:r>
          </w:p>
        </w:tc>
        <w:tc>
          <w:tcPr>
            <w:tcW w:w="2618" w:type="dxa"/>
            <w:gridSpan w:val="4"/>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r>
              <w:rPr>
                <w:rFonts w:ascii="宋体" w:hAnsi="宋体" w:eastAsia="宋体" w:cs="宋体"/>
                <w:bCs/>
                <w:color w:val="000000" w:themeColor="text1"/>
                <w:kern w:val="0"/>
                <w:szCs w:val="21"/>
                <w14:textFill>
                  <w14:solidFill>
                    <w14:schemeClr w14:val="tx1"/>
                  </w14:solidFill>
                </w14:textFill>
              </w:rPr>
              <w:t>0.3%</w:t>
            </w:r>
          </w:p>
        </w:tc>
        <w:tc>
          <w:tcPr>
            <w:tcW w:w="1312" w:type="dxa"/>
          </w:tcPr>
          <w:p>
            <w:pPr>
              <w:jc w:val="center"/>
              <w:textAlignment w:val="center"/>
              <w:rPr>
                <w:rFonts w:ascii="宋体" w:hAnsi="宋体" w:eastAsia="宋体" w:cs="宋体"/>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091" w:type="dxa"/>
            <w:gridSpan w:val="7"/>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实践性教学：学时总计、占总学时比例</w:t>
            </w:r>
          </w:p>
        </w:tc>
        <w:tc>
          <w:tcPr>
            <w:tcW w:w="2551" w:type="dxa"/>
            <w:gridSpan w:val="4"/>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r>
              <w:rPr>
                <w:rFonts w:ascii="宋体" w:hAnsi="宋体" w:eastAsia="宋体" w:cs="宋体"/>
                <w:bCs/>
                <w:color w:val="000000" w:themeColor="text1"/>
                <w:kern w:val="0"/>
                <w:szCs w:val="21"/>
                <w14:textFill>
                  <w14:solidFill>
                    <w14:schemeClr w14:val="tx1"/>
                  </w14:solidFill>
                </w14:textFill>
              </w:rPr>
              <w:t>296</w:t>
            </w:r>
          </w:p>
        </w:tc>
        <w:tc>
          <w:tcPr>
            <w:tcW w:w="2214" w:type="dxa"/>
            <w:gridSpan w:val="4"/>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6</w:t>
            </w:r>
            <w:r>
              <w:rPr>
                <w:rFonts w:ascii="宋体" w:hAnsi="宋体" w:eastAsia="宋体" w:cs="宋体"/>
                <w:bCs/>
                <w:color w:val="000000" w:themeColor="text1"/>
                <w:kern w:val="0"/>
                <w:szCs w:val="21"/>
                <w14:textFill>
                  <w14:solidFill>
                    <w14:schemeClr w14:val="tx1"/>
                  </w14:solidFill>
                </w14:textFill>
              </w:rPr>
              <w:t>7.2%</w:t>
            </w:r>
          </w:p>
        </w:tc>
        <w:tc>
          <w:tcPr>
            <w:tcW w:w="2618" w:type="dxa"/>
            <w:gridSpan w:val="4"/>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1312" w:type="dxa"/>
          </w:tcPr>
          <w:p>
            <w:pPr>
              <w:jc w:val="center"/>
              <w:textAlignment w:val="center"/>
              <w:rPr>
                <w:rFonts w:ascii="宋体" w:hAnsi="宋体" w:eastAsia="宋体" w:cs="宋体"/>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4786" w:type="dxa"/>
            <w:gridSpan w:val="20"/>
          </w:tcPr>
          <w:p>
            <w:pPr>
              <w:widowControl/>
              <w:jc w:val="left"/>
              <w:textAlignment w:val="top"/>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注：1.课堂教学周=教学活动周数（不小于20周）-实践教学周数；</w:t>
            </w:r>
          </w:p>
          <w:p>
            <w:pPr>
              <w:widowControl/>
              <w:ind w:firstLine="420" w:firstLineChars="200"/>
              <w:jc w:val="left"/>
              <w:textAlignment w:val="top"/>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2.平均周学时仅为校核各学期周学时均衡度；</w:t>
            </w:r>
          </w:p>
          <w:p>
            <w:pPr>
              <w:widowControl/>
              <w:ind w:firstLine="420" w:firstLineChars="200"/>
              <w:jc w:val="left"/>
              <w:textAlignment w:val="top"/>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3.W表示C类课程、军训训练、劳动安全教育、考试、毕业鉴定等的周数；</w:t>
            </w:r>
          </w:p>
          <w:p>
            <w:pPr>
              <w:widowControl/>
              <w:ind w:firstLine="420" w:firstLineChars="200"/>
              <w:jc w:val="left"/>
              <w:textAlignment w:val="top"/>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4.岗位实习可在5,6学期分段安排，累计不少于6个月（26周）；</w:t>
            </w:r>
          </w:p>
          <w:p>
            <w:pPr>
              <w:widowControl/>
              <w:ind w:firstLine="420" w:firstLineChars="200"/>
              <w:jc w:val="left"/>
              <w:textAlignment w:val="top"/>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5.选修课中明确各项工作和学分的转换。</w:t>
            </w:r>
          </w:p>
          <w:p>
            <w:pPr>
              <w:widowControl/>
              <w:ind w:firstLine="420" w:firstLineChars="200"/>
              <w:jc w:val="left"/>
              <w:textAlignment w:val="top"/>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6.标注★的为专业核心课程。</w:t>
            </w:r>
          </w:p>
          <w:p>
            <w:pPr>
              <w:widowControl/>
              <w:ind w:firstLine="420" w:firstLineChars="200"/>
              <w:jc w:val="left"/>
              <w:textAlignment w:val="top"/>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7.</w:t>
            </w:r>
            <w:r>
              <w:rPr>
                <w:rFonts w:hint="eastAsia" w:ascii="宋体" w:hAnsi="宋体" w:eastAsia="宋体" w:cs="宋体"/>
                <w:bCs/>
                <w:color w:val="000000" w:themeColor="text1"/>
                <w:kern w:val="0"/>
                <w:szCs w:val="21"/>
                <w14:textFill>
                  <w14:solidFill>
                    <w14:schemeClr w14:val="tx1"/>
                  </w14:solidFill>
                </w14:textFill>
              </w:rPr>
              <w:t xml:space="preserve">“课程类型”（A）理论课   （B）理论+实践    （C）实践课； </w:t>
            </w:r>
          </w:p>
          <w:p>
            <w:pPr>
              <w:widowControl/>
              <w:ind w:firstLine="630" w:firstLineChars="300"/>
              <w:jc w:val="left"/>
              <w:textAlignment w:val="top"/>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“课程考核”：（A）开卷考试   （B）闭卷考试  （C）实践考核  （D）实习鉴定  （E）报告评定</w:t>
            </w:r>
          </w:p>
        </w:tc>
      </w:tr>
    </w:tbl>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p/>
    <w:p/>
    <w:p/>
    <w:p>
      <w:pPr>
        <w:sectPr>
          <w:headerReference r:id="rId4" w:type="default"/>
          <w:footerReference r:id="rId5" w:type="default"/>
          <w:pgSz w:w="16838" w:h="11906" w:orient="landscape"/>
          <w:pgMar w:top="1418" w:right="1134" w:bottom="244" w:left="1134" w:header="964" w:footer="1304" w:gutter="0"/>
          <w:cols w:space="720" w:num="1"/>
          <w:docGrid w:linePitch="312" w:charSpace="0"/>
        </w:sectPr>
      </w:pPr>
    </w:p>
    <w:bookmarkEnd w:id="34"/>
    <w:bookmarkEnd w:id="35"/>
    <w:p>
      <w:pPr>
        <w:pStyle w:val="35"/>
        <w:spacing w:line="480" w:lineRule="exact"/>
        <w:ind w:left="279" w:leftChars="133" w:firstLine="280" w:firstLineChars="100"/>
        <w:rPr>
          <w:rFonts w:ascii="黑体" w:hAnsi="黑体" w:eastAsia="黑体" w:cs="黑体"/>
          <w:b w:val="0"/>
          <w:bCs/>
          <w:color w:val="000000" w:themeColor="text1"/>
          <w14:textFill>
            <w14:solidFill>
              <w14:schemeClr w14:val="tx1"/>
            </w14:solidFill>
          </w14:textFill>
        </w:rPr>
      </w:pPr>
      <w:bookmarkStart w:id="41" w:name="_Toc38201841"/>
      <w:bookmarkStart w:id="42" w:name="_Toc38299254"/>
      <w:bookmarkStart w:id="43" w:name="_Toc31424"/>
      <w:bookmarkStart w:id="44" w:name="_Hlk98766987"/>
      <w:r>
        <w:rPr>
          <w:rFonts w:hint="eastAsia" w:ascii="黑体" w:hAnsi="黑体" w:eastAsia="黑体" w:cs="黑体"/>
          <w:b w:val="0"/>
          <w:bCs/>
          <w:color w:val="000000" w:themeColor="text1"/>
          <w14:textFill>
            <w14:solidFill>
              <w14:schemeClr w14:val="tx1"/>
            </w14:solidFill>
          </w14:textFill>
        </w:rPr>
        <w:t>八、实施与保障</w:t>
      </w:r>
      <w:bookmarkEnd w:id="41"/>
      <w:bookmarkEnd w:id="42"/>
      <w:bookmarkEnd w:id="43"/>
    </w:p>
    <w:bookmarkEnd w:id="44"/>
    <w:p>
      <w:pPr>
        <w:snapToGrid w:val="0"/>
        <w:spacing w:line="480" w:lineRule="exact"/>
        <w:ind w:firstLine="560" w:firstLineChars="200"/>
        <w:outlineLvl w:val="1"/>
        <w:rPr>
          <w:rFonts w:ascii="楷体_GB2312" w:hAnsi="楷体_GB2312" w:eastAsia="楷体_GB2312" w:cs="楷体_GB2312"/>
          <w:bCs/>
          <w:color w:val="000000" w:themeColor="text1"/>
          <w:sz w:val="28"/>
          <w:szCs w:val="28"/>
          <w14:textFill>
            <w14:solidFill>
              <w14:schemeClr w14:val="tx1"/>
            </w14:solidFill>
          </w14:textFill>
        </w:rPr>
      </w:pPr>
      <w:bookmarkStart w:id="45" w:name="_Toc25638"/>
      <w:r>
        <w:rPr>
          <w:rFonts w:hint="eastAsia" w:ascii="楷体_GB2312" w:hAnsi="楷体_GB2312" w:eastAsia="楷体_GB2312" w:cs="楷体_GB2312"/>
          <w:bCs/>
          <w:color w:val="000000" w:themeColor="text1"/>
          <w:sz w:val="28"/>
          <w:szCs w:val="28"/>
          <w14:textFill>
            <w14:solidFill>
              <w14:schemeClr w14:val="tx1"/>
            </w14:solidFill>
          </w14:textFill>
        </w:rPr>
        <w:t>（一）师资队伍</w:t>
      </w:r>
      <w:bookmarkEnd w:id="45"/>
    </w:p>
    <w:p>
      <w:pPr>
        <w:snapToGrid w:val="0"/>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1.专业带头人</w:t>
      </w:r>
    </w:p>
    <w:p>
      <w:pPr>
        <w:snapToGri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bCs/>
          <w:sz w:val="28"/>
          <w:szCs w:val="28"/>
        </w:rPr>
        <w:t>专业带头人原则上应具有副教授及以上职称，能够较好地把握专业发展方向，能广泛联系行业企业，了解行业企业对本专业人才的需求实际，教学设计、专业研究能力强，组织开展教科研工作能力强，在本区域或本领域具有一定的专业影响力。</w:t>
      </w:r>
    </w:p>
    <w:p>
      <w:pPr>
        <w:snapToGrid w:val="0"/>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2.骨干教师</w:t>
      </w:r>
    </w:p>
    <w:p>
      <w:pPr>
        <w:snapToGrid w:val="0"/>
        <w:spacing w:line="4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专任教师具有高校教师资格；有理想情操、有扎实学识、有仁爱之心；具有电力系统、电气工程及自动化等相关专业本科及以上学历；具有扎实的本专业相关理论功底和实践能力；具有较强信息化教学能力，能够开展课程教学改革和科学研究。</w:t>
      </w:r>
    </w:p>
    <w:p>
      <w:pPr>
        <w:snapToGrid w:val="0"/>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3.兼职教师</w:t>
      </w:r>
    </w:p>
    <w:p>
      <w:pPr>
        <w:snapToGrid w:val="0"/>
        <w:spacing w:line="4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兼职教师主要从本专业相关的行业企业聘任，具备良好的思想政治素质、职业道德和工匠精神，具有扎实的专业知识和丰富的实际工作经验，具有中级及以上相关专业职称，能承担专业课教学、实习实训指导和学生职业发展规划指导等教学任务。</w:t>
      </w:r>
    </w:p>
    <w:p>
      <w:pPr>
        <w:snapToGrid w:val="0"/>
        <w:spacing w:line="480" w:lineRule="exact"/>
        <w:ind w:firstLine="560" w:firstLineChars="200"/>
        <w:outlineLvl w:val="1"/>
        <w:rPr>
          <w:rFonts w:ascii="楷体_GB2312" w:hAnsi="楷体_GB2312" w:eastAsia="楷体_GB2312" w:cs="楷体_GB2312"/>
          <w:bCs/>
          <w:color w:val="000000" w:themeColor="text1"/>
          <w:sz w:val="28"/>
          <w:szCs w:val="28"/>
          <w14:textFill>
            <w14:solidFill>
              <w14:schemeClr w14:val="tx1"/>
            </w14:solidFill>
          </w14:textFill>
        </w:rPr>
      </w:pPr>
      <w:bookmarkStart w:id="46" w:name="_Toc31426"/>
      <w:r>
        <w:rPr>
          <w:rFonts w:hint="eastAsia" w:ascii="楷体_GB2312" w:hAnsi="楷体_GB2312" w:eastAsia="楷体_GB2312" w:cs="楷体_GB2312"/>
          <w:bCs/>
          <w:color w:val="000000" w:themeColor="text1"/>
          <w:sz w:val="28"/>
          <w:szCs w:val="28"/>
          <w14:textFill>
            <w14:solidFill>
              <w14:schemeClr w14:val="tx1"/>
            </w14:solidFill>
          </w14:textFill>
        </w:rPr>
        <w:t>（二）教学设施</w:t>
      </w:r>
      <w:bookmarkEnd w:id="46"/>
    </w:p>
    <w:p>
      <w:pPr>
        <w:snapToGrid w:val="0"/>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1.校内实践教学条件</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本专业现有实训室9个</w:t>
      </w:r>
    </w:p>
    <w:tbl>
      <w:tblPr>
        <w:tblStyle w:val="27"/>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02"/>
        <w:gridCol w:w="4122"/>
        <w:gridCol w:w="2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snapToGrid w:val="0"/>
              <w:spacing w:line="52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序号</w:t>
            </w:r>
          </w:p>
        </w:tc>
        <w:tc>
          <w:tcPr>
            <w:tcW w:w="1802" w:type="dxa"/>
            <w:shd w:val="clear" w:color="auto" w:fill="auto"/>
            <w:vAlign w:val="center"/>
          </w:tcPr>
          <w:p>
            <w:pPr>
              <w:snapToGrid w:val="0"/>
              <w:spacing w:line="52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名称</w:t>
            </w:r>
          </w:p>
        </w:tc>
        <w:tc>
          <w:tcPr>
            <w:tcW w:w="4122" w:type="dxa"/>
            <w:shd w:val="clear" w:color="auto" w:fill="auto"/>
            <w:vAlign w:val="center"/>
          </w:tcPr>
          <w:p>
            <w:pPr>
              <w:snapToGrid w:val="0"/>
              <w:spacing w:line="52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主要设备</w:t>
            </w:r>
          </w:p>
        </w:tc>
        <w:tc>
          <w:tcPr>
            <w:tcW w:w="2037" w:type="dxa"/>
            <w:shd w:val="clear" w:color="auto" w:fill="auto"/>
            <w:vAlign w:val="center"/>
          </w:tcPr>
          <w:p>
            <w:pPr>
              <w:snapToGrid w:val="0"/>
              <w:spacing w:line="52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服务本专业课程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w:t>
            </w:r>
          </w:p>
        </w:tc>
        <w:tc>
          <w:tcPr>
            <w:tcW w:w="1802" w:type="dxa"/>
            <w:shd w:val="clear" w:color="auto" w:fill="auto"/>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电工实验室</w:t>
            </w:r>
          </w:p>
        </w:tc>
        <w:tc>
          <w:tcPr>
            <w:tcW w:w="4122" w:type="dxa"/>
            <w:shd w:val="clear" w:color="auto" w:fill="auto"/>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电工实验台</w:t>
            </w:r>
          </w:p>
        </w:tc>
        <w:tc>
          <w:tcPr>
            <w:tcW w:w="2037" w:type="dxa"/>
            <w:shd w:val="clear" w:color="auto" w:fill="auto"/>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电工技术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w:t>
            </w:r>
          </w:p>
        </w:tc>
        <w:tc>
          <w:tcPr>
            <w:tcW w:w="1802" w:type="dxa"/>
            <w:shd w:val="clear" w:color="auto" w:fill="auto"/>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电子实验室</w:t>
            </w:r>
          </w:p>
        </w:tc>
        <w:tc>
          <w:tcPr>
            <w:tcW w:w="4122" w:type="dxa"/>
            <w:shd w:val="clear" w:color="auto" w:fill="auto"/>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电子实验台、模拟和数字示波器、函数信号发生器</w:t>
            </w:r>
          </w:p>
        </w:tc>
        <w:tc>
          <w:tcPr>
            <w:tcW w:w="2037" w:type="dxa"/>
            <w:shd w:val="clear" w:color="auto" w:fill="auto"/>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模拟电子、数字电路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w:t>
            </w:r>
          </w:p>
        </w:tc>
        <w:tc>
          <w:tcPr>
            <w:tcW w:w="1802" w:type="dxa"/>
            <w:shd w:val="clear" w:color="auto" w:fill="auto"/>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电力拖动实验室</w:t>
            </w:r>
          </w:p>
        </w:tc>
        <w:tc>
          <w:tcPr>
            <w:tcW w:w="4122" w:type="dxa"/>
            <w:shd w:val="clear" w:color="auto" w:fill="auto"/>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电力拖动实验台</w:t>
            </w:r>
          </w:p>
        </w:tc>
        <w:tc>
          <w:tcPr>
            <w:tcW w:w="2037" w:type="dxa"/>
            <w:shd w:val="clear" w:color="auto" w:fill="auto"/>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电机驱动与调速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w:t>
            </w:r>
          </w:p>
        </w:tc>
        <w:tc>
          <w:tcPr>
            <w:tcW w:w="1802" w:type="dxa"/>
            <w:shd w:val="clear" w:color="auto" w:fill="auto"/>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电气设备及运行实训室</w:t>
            </w:r>
          </w:p>
        </w:tc>
        <w:tc>
          <w:tcPr>
            <w:tcW w:w="4122" w:type="dxa"/>
            <w:shd w:val="clear" w:color="auto" w:fill="auto"/>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高压断路器、高压负荷开关、电压互感器、电流互感器、跌落式熔断器、绝缘子、避雷器、穿墙套管</w:t>
            </w:r>
          </w:p>
        </w:tc>
        <w:tc>
          <w:tcPr>
            <w:tcW w:w="2037" w:type="dxa"/>
            <w:shd w:val="clear" w:color="auto" w:fill="auto"/>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电气设备及运行、电工进网作业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w:t>
            </w:r>
          </w:p>
        </w:tc>
        <w:tc>
          <w:tcPr>
            <w:tcW w:w="1802" w:type="dxa"/>
            <w:shd w:val="clear" w:color="auto" w:fill="auto"/>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PLC实训室</w:t>
            </w:r>
          </w:p>
        </w:tc>
        <w:tc>
          <w:tcPr>
            <w:tcW w:w="4122" w:type="dxa"/>
            <w:shd w:val="clear" w:color="auto" w:fill="auto"/>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PLC实验台、触摸屏</w:t>
            </w:r>
          </w:p>
        </w:tc>
        <w:tc>
          <w:tcPr>
            <w:tcW w:w="2037" w:type="dxa"/>
            <w:shd w:val="clear" w:color="auto" w:fill="auto"/>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可编程控制器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6</w:t>
            </w:r>
          </w:p>
        </w:tc>
        <w:tc>
          <w:tcPr>
            <w:tcW w:w="1802" w:type="dxa"/>
            <w:shd w:val="clear" w:color="auto" w:fill="auto"/>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电气绘图实训室</w:t>
            </w:r>
          </w:p>
        </w:tc>
        <w:tc>
          <w:tcPr>
            <w:tcW w:w="4122" w:type="dxa"/>
            <w:shd w:val="clear" w:color="auto" w:fill="auto"/>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计算机、电气绘图软件</w:t>
            </w:r>
          </w:p>
        </w:tc>
        <w:tc>
          <w:tcPr>
            <w:tcW w:w="2037" w:type="dxa"/>
            <w:shd w:val="clear" w:color="auto" w:fill="auto"/>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电气CAD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w:t>
            </w:r>
          </w:p>
        </w:tc>
        <w:tc>
          <w:tcPr>
            <w:tcW w:w="1802" w:type="dxa"/>
            <w:shd w:val="clear" w:color="auto" w:fill="auto"/>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变电运行仿真实训室</w:t>
            </w:r>
          </w:p>
        </w:tc>
        <w:tc>
          <w:tcPr>
            <w:tcW w:w="4122" w:type="dxa"/>
            <w:shd w:val="clear" w:color="auto" w:fill="auto"/>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计算机、变电运行仿真实训软件</w:t>
            </w:r>
          </w:p>
        </w:tc>
        <w:tc>
          <w:tcPr>
            <w:tcW w:w="2037" w:type="dxa"/>
            <w:shd w:val="clear" w:color="auto" w:fill="auto"/>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变电运行仿真实训、电气CAD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8</w:t>
            </w:r>
          </w:p>
        </w:tc>
        <w:tc>
          <w:tcPr>
            <w:tcW w:w="1802" w:type="dxa"/>
            <w:shd w:val="clear" w:color="auto" w:fill="auto"/>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工厂供配电实训室</w:t>
            </w:r>
          </w:p>
        </w:tc>
        <w:tc>
          <w:tcPr>
            <w:tcW w:w="4122" w:type="dxa"/>
            <w:shd w:val="clear" w:color="auto" w:fill="auto"/>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模拟故障发生器、断路器故障、继电器保护实训屏、10KV微机线路电机保护实训屏、模拟高压变压器、10KV CT PT计量柜、抽屉式低压配电柜、监控系统电脑、10KV真空断路器柜、低压电容补偿柜、惠普彩色打印机、微机监控主站系统、低压负载柜</w:t>
            </w:r>
          </w:p>
        </w:tc>
        <w:tc>
          <w:tcPr>
            <w:tcW w:w="2037" w:type="dxa"/>
            <w:shd w:val="clear" w:color="auto" w:fill="auto"/>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工厂供配电技术、电气设备及运行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asciiTheme="minorEastAsia" w:hAnsiTheme="minorEastAsia" w:cstheme="minorEastAsia"/>
                <w:color w:val="000000" w:themeColor="text1"/>
                <w:szCs w:val="21"/>
                <w14:textFill>
                  <w14:solidFill>
                    <w14:schemeClr w14:val="tx1"/>
                  </w14:solidFill>
                </w14:textFill>
              </w:rPr>
              <w:t>9</w:t>
            </w:r>
          </w:p>
        </w:tc>
        <w:tc>
          <w:tcPr>
            <w:tcW w:w="1802" w:type="dxa"/>
            <w:shd w:val="clear" w:color="auto" w:fill="auto"/>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电气设备安装与调试实训室</w:t>
            </w:r>
          </w:p>
        </w:tc>
        <w:tc>
          <w:tcPr>
            <w:tcW w:w="4122" w:type="dxa"/>
            <w:shd w:val="clear" w:color="auto" w:fill="auto"/>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电气设备安装与调试实训柜</w:t>
            </w:r>
          </w:p>
        </w:tc>
        <w:tc>
          <w:tcPr>
            <w:tcW w:w="2037" w:type="dxa"/>
            <w:shd w:val="clear" w:color="auto" w:fill="auto"/>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电气设备控制与检修</w:t>
            </w:r>
          </w:p>
        </w:tc>
      </w:tr>
    </w:tbl>
    <w:p>
      <w:pPr>
        <w:snapToGrid w:val="0"/>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2.校外实践教学条件</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为提高学生的岗位实践能力，体验企业管理模式，提前建立质量意识、时间观念、效益理念，以及建立安全第一的生产意识，在学校周边地区建设一批适合学生岗位实习、半工半读教学形式的校外实训基地。由企业能工巧匠、工程技术人员承担部分教学任务。企业兼职教师参与指导现场教学或岗位实习，学生在实训基地将完成电气设备控制与检修；电气设备安装与调试；供配电系统的综合实训；电机、变压器；高、低压供配电柜等的装配与检修实训。同时，也派教师进入企业，为企业提供技术服务；培训企业员工，成为教师和员工的双重身份。</w:t>
      </w:r>
    </w:p>
    <w:p>
      <w:pPr>
        <w:snapToGrid w:val="0"/>
        <w:spacing w:line="480" w:lineRule="exact"/>
        <w:ind w:firstLine="560" w:firstLineChars="200"/>
        <w:outlineLvl w:val="1"/>
        <w:rPr>
          <w:rFonts w:ascii="楷体_GB2312" w:hAnsi="楷体_GB2312" w:eastAsia="楷体_GB2312" w:cs="楷体_GB2312"/>
          <w:bCs/>
          <w:color w:val="000000" w:themeColor="text1"/>
          <w:sz w:val="28"/>
          <w:szCs w:val="28"/>
          <w14:textFill>
            <w14:solidFill>
              <w14:schemeClr w14:val="tx1"/>
            </w14:solidFill>
          </w14:textFill>
        </w:rPr>
      </w:pPr>
      <w:bookmarkStart w:id="47" w:name="_Toc4916"/>
      <w:r>
        <w:rPr>
          <w:rFonts w:hint="eastAsia" w:ascii="楷体_GB2312" w:hAnsi="楷体_GB2312" w:eastAsia="楷体_GB2312" w:cs="楷体_GB2312"/>
          <w:bCs/>
          <w:color w:val="000000" w:themeColor="text1"/>
          <w:sz w:val="28"/>
          <w:szCs w:val="28"/>
          <w14:textFill>
            <w14:solidFill>
              <w14:schemeClr w14:val="tx1"/>
            </w14:solidFill>
          </w14:textFill>
        </w:rPr>
        <w:t>（三）教学资源</w:t>
      </w:r>
      <w:bookmarkEnd w:id="47"/>
    </w:p>
    <w:p>
      <w:pPr>
        <w:snapToGrid w:val="0"/>
        <w:spacing w:line="48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教学资源主要包括能够满足学生专业学习、教师专业教学研究和教学实施所需的教材、图书文献及数字教学资源等。</w:t>
      </w:r>
    </w:p>
    <w:p>
      <w:pPr>
        <w:snapToGrid w:val="0"/>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1.教材选用基本要求</w:t>
      </w:r>
    </w:p>
    <w:p>
      <w:pPr>
        <w:snapToGrid w:val="0"/>
        <w:spacing w:line="48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按照国家规定选用优质教材，禁止不合格的教材进入课堂。学校建立有教材工作委员会，完善教材选用制度，经过规范程序择优选用教材。</w:t>
      </w:r>
    </w:p>
    <w:p>
      <w:pPr>
        <w:snapToGrid w:val="0"/>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2.图书文献配备基本要求</w:t>
      </w:r>
    </w:p>
    <w:p>
      <w:pPr>
        <w:snapToGrid w:val="0"/>
        <w:spacing w:line="48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图书文献配备能满足人才培养、专业建设、教科研等工作的需要，方便师生查询、借阅。专业类图书文献主要包括：有关发电厂及电力系统的技术、标准、方法、操作规范以及实务案例类图书等。</w:t>
      </w:r>
    </w:p>
    <w:p>
      <w:pPr>
        <w:snapToGrid w:val="0"/>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3.数字教学资源配置基本要求</w:t>
      </w:r>
    </w:p>
    <w:p>
      <w:pPr>
        <w:snapToGrid w:val="0"/>
        <w:spacing w:line="48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建设、配备与本专业有关的音视频素材、教学课件、数字化教学案例库、虚拟仿真软件、数字教材等专业教学资源库，应种类丰富、形式多样、使用便捷、动态更新，能满足教学要求。</w:t>
      </w:r>
    </w:p>
    <w:p>
      <w:pPr>
        <w:snapToGrid w:val="0"/>
        <w:spacing w:line="480" w:lineRule="exact"/>
        <w:ind w:firstLine="560" w:firstLineChars="200"/>
        <w:outlineLvl w:val="1"/>
        <w:rPr>
          <w:rFonts w:ascii="楷体_GB2312" w:hAnsi="楷体_GB2312" w:eastAsia="楷体_GB2312" w:cs="楷体_GB2312"/>
          <w:bCs/>
          <w:color w:val="000000" w:themeColor="text1"/>
          <w:sz w:val="28"/>
          <w:szCs w:val="28"/>
          <w14:textFill>
            <w14:solidFill>
              <w14:schemeClr w14:val="tx1"/>
            </w14:solidFill>
          </w14:textFill>
        </w:rPr>
      </w:pPr>
      <w:bookmarkStart w:id="48" w:name="_Toc30455"/>
      <w:r>
        <w:rPr>
          <w:rFonts w:hint="eastAsia" w:ascii="楷体_GB2312" w:hAnsi="楷体_GB2312" w:eastAsia="楷体_GB2312" w:cs="楷体_GB2312"/>
          <w:bCs/>
          <w:color w:val="000000" w:themeColor="text1"/>
          <w:sz w:val="28"/>
          <w:szCs w:val="28"/>
          <w14:textFill>
            <w14:solidFill>
              <w14:schemeClr w14:val="tx1"/>
            </w14:solidFill>
          </w14:textFill>
        </w:rPr>
        <w:t>（四）教学方法</w:t>
      </w:r>
      <w:bookmarkEnd w:id="48"/>
    </w:p>
    <w:p>
      <w:pPr>
        <w:snapToGrid w:val="0"/>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1.教学方法</w:t>
      </w:r>
    </w:p>
    <w:p>
      <w:pPr>
        <w:snapToGrid w:val="0"/>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不断探索教学模式和教学方法的改革与创新，探索任务驱动、项目导向等有利于增强学生能力的教学模式，探索课堂与实习地点一体化，学生在教师和技术人员的共同指导下学习和实践，实现教室与车间合一、教师与师傅合一、学生与徒弟合一、作业与产品合一，在真实职业情境中实施教学，教学方法以边讲边练、讲练结合为主，强化学生能力培养。</w:t>
      </w:r>
    </w:p>
    <w:p>
      <w:pPr>
        <w:snapToGrid w:val="0"/>
        <w:spacing w:line="480" w:lineRule="exact"/>
        <w:ind w:firstLine="562"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2.教学手段</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充分运用现代教育技术，通过实物展示、动画演示、视频资料，将比较复杂的工作过程利用生动的图像及动画形式进行虚拟演示，优化教学过程，给学生比较强烈的直观感受，有助于学生理解，同时使课堂教学生动活泼、引人入胜，提高教学质量和效率。</w:t>
      </w:r>
    </w:p>
    <w:p>
      <w:pPr>
        <w:snapToGrid w:val="0"/>
        <w:spacing w:line="480" w:lineRule="exact"/>
        <w:ind w:firstLine="560" w:firstLineChars="200"/>
        <w:outlineLvl w:val="1"/>
        <w:rPr>
          <w:rFonts w:ascii="楷体_GB2312" w:hAnsi="楷体_GB2312" w:eastAsia="楷体_GB2312" w:cs="楷体_GB2312"/>
          <w:bCs/>
          <w:color w:val="000000" w:themeColor="text1"/>
          <w:sz w:val="28"/>
          <w:szCs w:val="28"/>
          <w14:textFill>
            <w14:solidFill>
              <w14:schemeClr w14:val="tx1"/>
            </w14:solidFill>
          </w14:textFill>
        </w:rPr>
      </w:pPr>
      <w:bookmarkStart w:id="49" w:name="_Toc16020"/>
      <w:r>
        <w:rPr>
          <w:rFonts w:hint="eastAsia" w:ascii="楷体_GB2312" w:hAnsi="楷体_GB2312" w:eastAsia="楷体_GB2312" w:cs="楷体_GB2312"/>
          <w:bCs/>
          <w:color w:val="000000" w:themeColor="text1"/>
          <w:sz w:val="28"/>
          <w:szCs w:val="28"/>
          <w14:textFill>
            <w14:solidFill>
              <w14:schemeClr w14:val="tx1"/>
            </w14:solidFill>
          </w14:textFill>
        </w:rPr>
        <w:t>（五）学习评价</w:t>
      </w:r>
      <w:bookmarkEnd w:id="49"/>
    </w:p>
    <w:p>
      <w:pPr>
        <w:snapToGrid w:val="0"/>
        <w:spacing w:line="480" w:lineRule="exact"/>
        <w:ind w:firstLine="560"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提倡灵活多样的考核方式，将过程评价和结果评价相结合，开卷考试与总结汇报相结合，笔试与操作考核相结合，突出学生的能力考核和技能考核。在项目课程中，参照企业的评价方式，推行等级评价方式。生产性实习和岗位实习的评价由校内指导教师和企业指导教师共同完成。</w:t>
      </w:r>
    </w:p>
    <w:p>
      <w:pPr>
        <w:snapToGrid w:val="0"/>
        <w:spacing w:line="480" w:lineRule="exact"/>
        <w:ind w:firstLine="560" w:firstLineChars="200"/>
        <w:outlineLvl w:val="1"/>
        <w:rPr>
          <w:rFonts w:ascii="楷体_GB2312" w:hAnsi="楷体_GB2312" w:eastAsia="楷体_GB2312" w:cs="楷体_GB2312"/>
          <w:bCs/>
          <w:color w:val="000000" w:themeColor="text1"/>
          <w:sz w:val="28"/>
          <w:szCs w:val="28"/>
          <w14:textFill>
            <w14:solidFill>
              <w14:schemeClr w14:val="tx1"/>
            </w14:solidFill>
          </w14:textFill>
        </w:rPr>
      </w:pPr>
      <w:bookmarkStart w:id="50" w:name="_Toc24701"/>
      <w:r>
        <w:rPr>
          <w:rFonts w:hint="eastAsia" w:ascii="楷体_GB2312" w:hAnsi="楷体_GB2312" w:eastAsia="楷体_GB2312" w:cs="楷体_GB2312"/>
          <w:bCs/>
          <w:color w:val="000000" w:themeColor="text1"/>
          <w:sz w:val="28"/>
          <w:szCs w:val="28"/>
          <w14:textFill>
            <w14:solidFill>
              <w14:schemeClr w14:val="tx1"/>
            </w14:solidFill>
          </w14:textFill>
        </w:rPr>
        <w:t>（六）质量管理</w:t>
      </w:r>
      <w:bookmarkEnd w:id="50"/>
    </w:p>
    <w:p>
      <w:pPr>
        <w:snapToGrid w:val="0"/>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1.组织保障</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学院实施院、系（部）二级教学质量管理机制。</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（1）学院相关部门实施一级管理</w:t>
      </w:r>
    </w:p>
    <w:p>
      <w:pPr>
        <w:spacing w:line="480" w:lineRule="exact"/>
        <w:ind w:firstLine="562"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专业建设委员会：</w:t>
      </w:r>
      <w:r>
        <w:rPr>
          <w:rFonts w:hint="eastAsia" w:ascii="仿宋_GB2312" w:hAnsi="仿宋_GB2312" w:eastAsia="仿宋_GB2312" w:cs="仿宋_GB2312"/>
          <w:color w:val="000000" w:themeColor="text1"/>
          <w:sz w:val="28"/>
          <w:szCs w:val="28"/>
          <w14:textFill>
            <w14:solidFill>
              <w14:schemeClr w14:val="tx1"/>
            </w14:solidFill>
          </w14:textFill>
        </w:rPr>
        <w:t>行使学院教学指导职能。主要监控专业人才培养目标定位、重大教学改革方案和人才培养方案的制定、修订，实验实训室建设等。</w:t>
      </w:r>
    </w:p>
    <w:p>
      <w:pPr>
        <w:spacing w:line="480" w:lineRule="exact"/>
        <w:ind w:firstLine="562" w:firstLineChars="200"/>
        <w:jc w:val="left"/>
        <w:rPr>
          <w:rFonts w:ascii="仿宋_GB2312" w:hAnsi="仿宋_GB2312" w:eastAsia="仿宋_GB2312" w:cs="仿宋_GB2312"/>
          <w:color w:val="000000" w:themeColor="text1"/>
          <w:sz w:val="28"/>
          <w:szCs w:val="28"/>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职能部门：</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以保障和提高教学质量为目标，运用系统方法，依靠必要的组织结构，统筹考虑影响教学质量的各主要因素，结合教学诊断与改进、质量年报等职业院校自主保证人才培养质量工作，统筹管理学校各部门、各环节的教学质量管理活动，形成任务、职责、权限明确，相互协调、相互促进的质量管理工作机制。</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（2）各系（部）实施二级管理</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建立专业建设和教学质量诊断与改进机制，健全教学质量监控管理制度，完善课堂教学、教学评价、实习实训、毕业设计以及专业调研、人才培养方案修订、资源建设等方面质量标准建设，通过教学实施、过程监控、质量评价和持续改进，达成人才培养目标和规格。</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完善教学管理机制，加强日常教学组织运行与管理，开展课程建设工作，建立健全巡课、听课、评教、评学等制度，定期开展公开课、示范课等教研活动。建立与企业联动的实践教学环节督导制度，严明教学纪律，强化教学组织。</w:t>
      </w:r>
    </w:p>
    <w:p>
      <w:pPr>
        <w:spacing w:line="480" w:lineRule="exact"/>
        <w:ind w:firstLine="562" w:firstLineChars="200"/>
        <w:jc w:val="left"/>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2.制度保障</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（1）教学运行及教学管理相关检查制度</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每学期开展期中、期末两次集中教学检查，教学检查覆盖教师教学的备课、课堂讲授、作业批改、实验实习、辅导答疑、考试、阅卷、试卷分析、毕业汇报等教学全过程。</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（2）师资队伍建设制度</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所有新教师进校必须符合学校教师准入条件。新进教师上课，应履行试讲手续。制定《专业带头人与骨干教师评选办法》《教师培训与培养实施办法》等制度保障教师队伍建设工作，提高专业教师的整体素质，确保人才培养质量。</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（3）听课制度</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听课制度要求从学院领导至新招聘教师，每学期必须按要求完成一定量的听课工作。院级领导、系主任及行政部门中层干部深入教学第一线定期听课、督查教学过程，解决教学中存在的问题；老教师听课对新教师起到督导和传帮带作用，新教师通过听课掌握教学的基本技巧，学会如何上好一堂课。</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（4）教师教学质量考核制度</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建立教师考核制度，通过学生评教、教师互评、系部评教的形式，对每一位教师的课堂教学工作做出合理的评价。</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（5）毕业生跟踪调查制度</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由各系向用人单位了解毕业生在社会的反响，向毕业生了解学校课程体系和教学内容的社会适应性，根据反馈的信息及时调整培养方案和进行教学改革。</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（6）校企合作制度建设</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不断推进校企合作走向深入，与重点合作企业成立“订单班”，共同制定人才培养方案、开发课程、教材等，探索实施人才共育、师资共享、实训条件共建等工作模式。</w:t>
      </w:r>
    </w:p>
    <w:p>
      <w:pPr>
        <w:snapToGrid w:val="0"/>
        <w:spacing w:line="480" w:lineRule="exact"/>
        <w:ind w:firstLine="560" w:firstLineChars="200"/>
        <w:outlineLvl w:val="0"/>
        <w:rPr>
          <w:rFonts w:ascii="黑体" w:hAnsi="黑体" w:eastAsia="黑体" w:cs="黑体"/>
          <w:bCs/>
          <w:color w:val="000000" w:themeColor="text1"/>
          <w:sz w:val="28"/>
          <w:szCs w:val="28"/>
          <w14:textFill>
            <w14:solidFill>
              <w14:schemeClr w14:val="tx1"/>
            </w14:solidFill>
          </w14:textFill>
        </w:rPr>
      </w:pPr>
      <w:bookmarkStart w:id="51" w:name="_Toc23606"/>
      <w:r>
        <w:rPr>
          <w:rFonts w:hint="eastAsia" w:ascii="黑体" w:hAnsi="黑体" w:eastAsia="黑体" w:cs="黑体"/>
          <w:bCs/>
          <w:color w:val="000000" w:themeColor="text1"/>
          <w:sz w:val="28"/>
          <w:szCs w:val="28"/>
          <w14:textFill>
            <w14:solidFill>
              <w14:schemeClr w14:val="tx1"/>
            </w14:solidFill>
          </w14:textFill>
        </w:rPr>
        <w:t>九、毕业生要求</w:t>
      </w:r>
      <w:bookmarkEnd w:id="51"/>
    </w:p>
    <w:p>
      <w:pPr>
        <w:spacing w:line="480" w:lineRule="exact"/>
        <w:ind w:firstLine="560" w:firstLineChars="200"/>
        <w:textAlignment w:val="top"/>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学生通过3年的学习，要求学生所学的全部课程考试合格，获得通用证书以及行业资格证书，并达到本专业人才培养目标和培养规格的要求。</w:t>
      </w:r>
      <w:bookmarkStart w:id="52" w:name="_Hlk76643124"/>
      <w:r>
        <w:rPr>
          <w:rFonts w:hint="eastAsia" w:ascii="仿宋_GB2312" w:hAnsi="仿宋_GB2312" w:eastAsia="仿宋_GB2312" w:cs="仿宋_GB2312"/>
          <w:color w:val="000000" w:themeColor="text1"/>
          <w:sz w:val="28"/>
          <w:szCs w:val="28"/>
          <w14:textFill>
            <w14:solidFill>
              <w14:schemeClr w14:val="tx1"/>
            </w14:solidFill>
          </w14:textFill>
        </w:rPr>
        <w:t>学生须修满本专业人才培养方案规定的</w:t>
      </w:r>
      <w:r>
        <w:rPr>
          <w:rFonts w:ascii="仿宋_GB2312" w:hAnsi="仿宋_GB2312" w:eastAsia="仿宋_GB2312" w:cs="仿宋_GB2312"/>
          <w:color w:val="000000" w:themeColor="text1"/>
          <w:sz w:val="28"/>
          <w:szCs w:val="28"/>
          <w14:textFill>
            <w14:solidFill>
              <w14:schemeClr w14:val="tx1"/>
            </w14:solidFill>
          </w14:textFill>
        </w:rPr>
        <w:t>3290</w:t>
      </w:r>
      <w:r>
        <w:rPr>
          <w:rFonts w:hint="eastAsia" w:ascii="仿宋_GB2312" w:hAnsi="仿宋_GB2312" w:eastAsia="仿宋_GB2312" w:cs="仿宋_GB2312"/>
          <w:color w:val="000000" w:themeColor="text1"/>
          <w:sz w:val="28"/>
          <w:szCs w:val="28"/>
          <w14:textFill>
            <w14:solidFill>
              <w14:schemeClr w14:val="tx1"/>
            </w14:solidFill>
          </w14:textFill>
        </w:rPr>
        <w:t>学时、</w:t>
      </w:r>
      <w:r>
        <w:rPr>
          <w:rFonts w:ascii="仿宋_GB2312" w:hAnsi="仿宋_GB2312" w:eastAsia="仿宋_GB2312" w:cs="仿宋_GB2312"/>
          <w:color w:val="000000" w:themeColor="text1"/>
          <w:sz w:val="28"/>
          <w:szCs w:val="28"/>
          <w14:textFill>
            <w14:solidFill>
              <w14:schemeClr w14:val="tx1"/>
            </w14:solidFill>
          </w14:textFill>
        </w:rPr>
        <w:t>165.5</w:t>
      </w:r>
      <w:r>
        <w:rPr>
          <w:rFonts w:hint="eastAsia" w:ascii="仿宋_GB2312" w:hAnsi="仿宋_GB2312" w:eastAsia="仿宋_GB2312" w:cs="仿宋_GB2312"/>
          <w:color w:val="000000" w:themeColor="text1"/>
          <w:sz w:val="28"/>
          <w:szCs w:val="28"/>
          <w14:textFill>
            <w14:solidFill>
              <w14:schemeClr w14:val="tx1"/>
            </w14:solidFill>
          </w14:textFill>
        </w:rPr>
        <w:t>学分。其中公共基础必修课程</w:t>
      </w:r>
      <w:r>
        <w:rPr>
          <w:rFonts w:ascii="仿宋_GB2312" w:hAnsi="仿宋_GB2312" w:eastAsia="仿宋_GB2312" w:cs="仿宋_GB2312"/>
          <w:color w:val="000000" w:themeColor="text1"/>
          <w:sz w:val="28"/>
          <w:szCs w:val="28"/>
          <w14:textFill>
            <w14:solidFill>
              <w14:schemeClr w14:val="tx1"/>
            </w14:solidFill>
          </w14:textFill>
        </w:rPr>
        <w:t>702</w:t>
      </w:r>
      <w:r>
        <w:rPr>
          <w:rFonts w:hint="eastAsia" w:ascii="仿宋_GB2312" w:hAnsi="仿宋_GB2312" w:eastAsia="仿宋_GB2312" w:cs="仿宋_GB2312"/>
          <w:color w:val="000000" w:themeColor="text1"/>
          <w:sz w:val="28"/>
          <w:szCs w:val="28"/>
          <w14:textFill>
            <w14:solidFill>
              <w14:schemeClr w14:val="tx1"/>
            </w14:solidFill>
          </w14:textFill>
        </w:rPr>
        <w:t>课时、</w:t>
      </w:r>
      <w:r>
        <w:rPr>
          <w:rFonts w:ascii="仿宋_GB2312" w:hAnsi="仿宋_GB2312" w:eastAsia="仿宋_GB2312" w:cs="仿宋_GB2312"/>
          <w:color w:val="000000" w:themeColor="text1"/>
          <w:sz w:val="28"/>
          <w:szCs w:val="28"/>
          <w14:textFill>
            <w14:solidFill>
              <w14:schemeClr w14:val="tx1"/>
            </w14:solidFill>
          </w14:textFill>
        </w:rPr>
        <w:t>42</w:t>
      </w:r>
      <w:r>
        <w:rPr>
          <w:rFonts w:hint="eastAsia" w:ascii="仿宋_GB2312" w:hAnsi="仿宋_GB2312" w:eastAsia="仿宋_GB2312" w:cs="仿宋_GB2312"/>
          <w:color w:val="000000" w:themeColor="text1"/>
          <w:sz w:val="28"/>
          <w:szCs w:val="28"/>
          <w14:textFill>
            <w14:solidFill>
              <w14:schemeClr w14:val="tx1"/>
            </w14:solidFill>
          </w14:textFill>
        </w:rPr>
        <w:t>学分；专业技能必修课程</w:t>
      </w:r>
      <w:r>
        <w:rPr>
          <w:rFonts w:ascii="仿宋_GB2312" w:hAnsi="仿宋_GB2312" w:eastAsia="仿宋_GB2312" w:cs="仿宋_GB2312"/>
          <w:color w:val="000000" w:themeColor="text1"/>
          <w:sz w:val="28"/>
          <w:szCs w:val="28"/>
          <w14:textFill>
            <w14:solidFill>
              <w14:schemeClr w14:val="tx1"/>
            </w14:solidFill>
          </w14:textFill>
        </w:rPr>
        <w:t>2276</w:t>
      </w:r>
      <w:r>
        <w:rPr>
          <w:rFonts w:hint="eastAsia" w:ascii="仿宋_GB2312" w:hAnsi="仿宋_GB2312" w:eastAsia="仿宋_GB2312" w:cs="仿宋_GB2312"/>
          <w:color w:val="000000" w:themeColor="text1"/>
          <w:sz w:val="28"/>
          <w:szCs w:val="28"/>
          <w14:textFill>
            <w14:solidFill>
              <w14:schemeClr w14:val="tx1"/>
            </w14:solidFill>
          </w14:textFill>
        </w:rPr>
        <w:t>学时、</w:t>
      </w:r>
      <w:r>
        <w:rPr>
          <w:rFonts w:ascii="仿宋_GB2312" w:hAnsi="仿宋_GB2312" w:eastAsia="仿宋_GB2312" w:cs="仿宋_GB2312"/>
          <w:color w:val="000000" w:themeColor="text1"/>
          <w:sz w:val="28"/>
          <w:szCs w:val="28"/>
          <w14:textFill>
            <w14:solidFill>
              <w14:schemeClr w14:val="tx1"/>
            </w14:solidFill>
          </w14:textFill>
        </w:rPr>
        <w:t>104</w:t>
      </w:r>
      <w:r>
        <w:rPr>
          <w:rFonts w:hint="eastAsia" w:ascii="仿宋_GB2312" w:hAnsi="仿宋_GB2312" w:eastAsia="仿宋_GB2312" w:cs="仿宋_GB2312"/>
          <w:color w:val="000000" w:themeColor="text1"/>
          <w:sz w:val="28"/>
          <w:szCs w:val="28"/>
          <w14:textFill>
            <w14:solidFill>
              <w14:schemeClr w14:val="tx1"/>
            </w14:solidFill>
          </w14:textFill>
        </w:rPr>
        <w:t>学分；公共基础选修课程</w:t>
      </w:r>
      <w:r>
        <w:rPr>
          <w:rFonts w:ascii="仿宋_GB2312" w:hAnsi="仿宋_GB2312" w:eastAsia="仿宋_GB2312" w:cs="仿宋_GB2312"/>
          <w:color w:val="000000" w:themeColor="text1"/>
          <w:sz w:val="28"/>
          <w:szCs w:val="28"/>
          <w14:textFill>
            <w14:solidFill>
              <w14:schemeClr w14:val="tx1"/>
            </w14:solidFill>
          </w14:textFill>
        </w:rPr>
        <w:t>96</w:t>
      </w:r>
      <w:r>
        <w:rPr>
          <w:rFonts w:hint="eastAsia" w:ascii="仿宋_GB2312" w:hAnsi="仿宋_GB2312" w:eastAsia="仿宋_GB2312" w:cs="仿宋_GB2312"/>
          <w:color w:val="000000" w:themeColor="text1"/>
          <w:sz w:val="28"/>
          <w:szCs w:val="28"/>
          <w14:textFill>
            <w14:solidFill>
              <w14:schemeClr w14:val="tx1"/>
            </w14:solidFill>
          </w14:textFill>
        </w:rPr>
        <w:t>课时、</w:t>
      </w:r>
      <w:r>
        <w:rPr>
          <w:rFonts w:ascii="仿宋_GB2312" w:hAnsi="仿宋_GB2312" w:eastAsia="仿宋_GB2312" w:cs="仿宋_GB2312"/>
          <w:color w:val="000000" w:themeColor="text1"/>
          <w:sz w:val="28"/>
          <w:szCs w:val="28"/>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学分；专业技能选修课程</w:t>
      </w:r>
      <w:r>
        <w:rPr>
          <w:rFonts w:ascii="仿宋_GB2312" w:hAnsi="仿宋_GB2312" w:eastAsia="仿宋_GB2312" w:cs="仿宋_GB2312"/>
          <w:color w:val="000000" w:themeColor="text1"/>
          <w:sz w:val="28"/>
          <w:szCs w:val="28"/>
          <w14:textFill>
            <w14:solidFill>
              <w14:schemeClr w14:val="tx1"/>
            </w14:solidFill>
          </w14:textFill>
        </w:rPr>
        <w:t>216</w:t>
      </w:r>
      <w:r>
        <w:rPr>
          <w:rFonts w:hint="eastAsia" w:ascii="仿宋_GB2312" w:hAnsi="仿宋_GB2312" w:eastAsia="仿宋_GB2312" w:cs="仿宋_GB2312"/>
          <w:color w:val="000000" w:themeColor="text1"/>
          <w:sz w:val="28"/>
          <w:szCs w:val="28"/>
          <w14:textFill>
            <w14:solidFill>
              <w14:schemeClr w14:val="tx1"/>
            </w14:solidFill>
          </w14:textFill>
        </w:rPr>
        <w:t>课时、</w:t>
      </w:r>
      <w:r>
        <w:rPr>
          <w:rFonts w:ascii="仿宋_GB2312" w:hAnsi="仿宋_GB2312" w:eastAsia="仿宋_GB2312" w:cs="仿宋_GB2312"/>
          <w:color w:val="000000" w:themeColor="text1"/>
          <w:sz w:val="28"/>
          <w:szCs w:val="28"/>
          <w14:textFill>
            <w14:solidFill>
              <w14:schemeClr w14:val="tx1"/>
            </w14:solidFill>
          </w14:textFill>
        </w:rPr>
        <w:t>13.5</w:t>
      </w:r>
      <w:r>
        <w:rPr>
          <w:rFonts w:hint="eastAsia" w:ascii="仿宋_GB2312" w:hAnsi="仿宋_GB2312" w:eastAsia="仿宋_GB2312" w:cs="仿宋_GB2312"/>
          <w:color w:val="000000" w:themeColor="text1"/>
          <w:sz w:val="28"/>
          <w:szCs w:val="28"/>
          <w14:textFill>
            <w14:solidFill>
              <w14:schemeClr w14:val="tx1"/>
            </w14:solidFill>
          </w14:textFill>
        </w:rPr>
        <w:t>学分。</w:t>
      </w:r>
      <w:bookmarkEnd w:id="52"/>
    </w:p>
    <w:p>
      <w:pPr>
        <w:snapToGrid w:val="0"/>
        <w:contextualSpacing/>
        <w:rPr>
          <w:rFonts w:asciiTheme="minorEastAsia" w:hAnsiTheme="minorEastAsia" w:cstheme="minorEastAsia"/>
          <w:color w:val="000000" w:themeColor="text1"/>
          <w:szCs w:val="21"/>
          <w14:textFill>
            <w14:solidFill>
              <w14:schemeClr w14:val="tx1"/>
            </w14:solidFill>
          </w14:textFill>
        </w:rPr>
      </w:pPr>
    </w:p>
    <w:sectPr>
      <w:headerReference r:id="rId6" w:type="default"/>
      <w:footerReference r:id="rId7" w:type="default"/>
      <w:pgSz w:w="11906" w:h="16838"/>
      <w:pgMar w:top="993" w:right="1418" w:bottom="1134" w:left="1133" w:header="737" w:footer="595"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3">
    <w:altName w:val="Symbol"/>
    <w:panose1 w:val="05040102010807070707"/>
    <w:charset w:val="02"/>
    <w:family w:val="roman"/>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Variable Text">
    <w:panose1 w:val="00000000000000000000"/>
    <w:charset w:val="00"/>
    <w:family w:val="auto"/>
    <w:pitch w:val="default"/>
    <w:sig w:usb0="A00002FF" w:usb1="0000000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420"/>
      <w:jc w:val="cente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1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pPr>
      <w:pStyle w:val="15"/>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5700"/>
        <w:tab w:val="right" w:pos="14690"/>
      </w:tabs>
      <w:ind w:firstLine="42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 </w:t>
                          </w:r>
                          <w:r>
                            <w:fldChar w:fldCharType="begin"/>
                          </w:r>
                          <w:r>
                            <w:instrText xml:space="preserve"> PAGE  \* MERGEFORMAT </w:instrText>
                          </w:r>
                          <w:r>
                            <w:fldChar w:fldCharType="separate"/>
                          </w:r>
                          <w:r>
                            <w:t>16</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5"/>
                    </w:pPr>
                    <w:r>
                      <w:t xml:space="preserve">— </w:t>
                    </w:r>
                    <w:r>
                      <w:fldChar w:fldCharType="begin"/>
                    </w:r>
                    <w:r>
                      <w:instrText xml:space="preserve"> PAGE  \* MERGEFORMAT </w:instrText>
                    </w:r>
                    <w:r>
                      <w:fldChar w:fldCharType="separate"/>
                    </w:r>
                    <w:r>
                      <w:t>16</w:t>
                    </w:r>
                    <w:r>
                      <w:fldChar w:fldCharType="end"/>
                    </w:r>
                    <w:r>
                      <w:t xml:space="preserve"> —</w:t>
                    </w:r>
                  </w:p>
                </w:txbxContent>
              </v:textbox>
            </v:shape>
          </w:pict>
        </mc:Fallback>
      </mc:AlternateContent>
    </w:r>
    <w:r>
      <w:rPr>
        <w:rFonts w:hint="eastAsia"/>
      </w:rPr>
      <w:tab/>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 </w:t>
                          </w:r>
                          <w:r>
                            <w:fldChar w:fldCharType="begin"/>
                          </w:r>
                          <w:r>
                            <w:instrText xml:space="preserve"> PAGE  \* MERGEFORMAT </w:instrText>
                          </w:r>
                          <w:r>
                            <w:fldChar w:fldCharType="separate"/>
                          </w:r>
                          <w:r>
                            <w:t>31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15"/>
                    </w:pPr>
                    <w:r>
                      <w:t xml:space="preserve">— </w:t>
                    </w:r>
                    <w:r>
                      <w:fldChar w:fldCharType="begin"/>
                    </w:r>
                    <w:r>
                      <w:instrText xml:space="preserve"> PAGE  \* MERGEFORMAT </w:instrText>
                    </w:r>
                    <w:r>
                      <w:fldChar w:fldCharType="separate"/>
                    </w:r>
                    <w:r>
                      <w:t>31</w:t>
                    </w:r>
                    <w:r>
                      <w:fldChar w:fldCharType="end"/>
                    </w:r>
                    <w:r>
                      <w:t xml:space="preserve"> —</w:t>
                    </w:r>
                  </w:p>
                </w:txbxContent>
              </v:textbox>
            </v:shape>
          </w:pict>
        </mc:Fallback>
      </mc:AlternateContent>
    </w:r>
  </w:p>
  <w:p>
    <w:pPr>
      <w:pStyle w:val="1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r>
      <mc:AlternateContent>
        <mc:Choice Requires="wps">
          <w:drawing>
            <wp:anchor distT="0" distB="0" distL="114300" distR="114300" simplePos="0" relativeHeight="251659264" behindDoc="0" locked="0" layoutInCell="0" allowOverlap="1">
              <wp:simplePos x="0" y="0"/>
              <wp:positionH relativeFrom="page">
                <wp:posOffset>-20955</wp:posOffset>
              </wp:positionH>
              <wp:positionV relativeFrom="page">
                <wp:posOffset>3332480</wp:posOffset>
              </wp:positionV>
              <wp:extent cx="762000" cy="895350"/>
              <wp:effectExtent l="0" t="0" r="0" b="0"/>
              <wp:wrapNone/>
              <wp:docPr id="7" name="矩形 3"/>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p>
                          <w:pPr>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w:t>
                          </w:r>
                          <w:r>
                            <w:rPr>
                              <w:sz w:val="18"/>
                              <w:szCs w:val="18"/>
                            </w:rPr>
                            <w:t xml:space="preserve"> 24 -</w:t>
                          </w:r>
                          <w:r>
                            <w:rPr>
                              <w:sz w:val="18"/>
                              <w:szCs w:val="18"/>
                            </w:rPr>
                            <w:fldChar w:fldCharType="end"/>
                          </w:r>
                        </w:p>
                      </w:txbxContent>
                    </wps:txbx>
                    <wps:bodyPr rot="0" vert="eaVert" wrap="square" lIns="91440" tIns="45720" rIns="91440" bIns="45720" anchor="t" anchorCtr="0" upright="1">
                      <a:noAutofit/>
                    </wps:bodyPr>
                  </wps:wsp>
                </a:graphicData>
              </a:graphic>
            </wp:anchor>
          </w:drawing>
        </mc:Choice>
        <mc:Fallback>
          <w:pict>
            <v:rect id="矩形 3" o:spid="_x0000_s1026" o:spt="1" style="position:absolute;left:0pt;margin-left:-1.65pt;margin-top:262.4pt;height:70.5pt;width:60pt;mso-position-horizontal-relative:page;mso-position-vertical-relative:page;z-index:251659264;mso-width-relative:page;mso-height-relative:page;" fillcolor="#FFFFFF" filled="t" stroked="f" coordsize="21600,21600" o:allowincell="f" o:gfxdata="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PXQ4UNsAAAAKAQAADwAAAAAAAAABACAAAAAiAAAAZHJzL2Rvd25yZXYueG1sUEsBAhQAFAAAAAgA&#10;h07iQNa6jA4iAgAAMgQAAA4AAAAAAAAAAQAgAAAAKgEAAGRycy9lMm9Eb2MueG1sUEsFBgAAAAAG&#10;AAYAWQEAAL4FAAAAAA==&#10;">
              <v:fill on="t" focussize="0,0"/>
              <v:stroke on="f"/>
              <v:imagedata o:title=""/>
              <o:lock v:ext="edit" aspectratio="f"/>
              <v:textbox style="layout-flow:vertical-ideographic;">
                <w:txbxContent>
                  <w:p>
                    <w:pPr>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w:t>
                    </w:r>
                    <w:r>
                      <w:rPr>
                        <w:sz w:val="18"/>
                        <w:szCs w:val="18"/>
                      </w:rPr>
                      <w:t xml:space="preserve"> 24 -</w:t>
                    </w:r>
                    <w:r>
                      <w:rPr>
                        <w:sz w:val="18"/>
                        <w:szCs w:val="18"/>
                      </w:rPr>
                      <w:fldChar w:fldCharType="end"/>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chineseCounting"/>
      <w:pStyle w:val="102"/>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0ZmEwZGFkN2Y5MDU5ZWUyMDkxODU3NmNjYTQ0MjUifQ=="/>
    <w:docVar w:name="KSO_WPS_MARK_KEY" w:val="6d1b26db-b5c8-49ad-ba64-e7b99252491f"/>
  </w:docVars>
  <w:rsids>
    <w:rsidRoot w:val="00396F2A"/>
    <w:rsid w:val="000055FF"/>
    <w:rsid w:val="00005AAF"/>
    <w:rsid w:val="000078D9"/>
    <w:rsid w:val="00047480"/>
    <w:rsid w:val="00047A66"/>
    <w:rsid w:val="0007792E"/>
    <w:rsid w:val="00077B18"/>
    <w:rsid w:val="000C5D36"/>
    <w:rsid w:val="000F542C"/>
    <w:rsid w:val="000F72E7"/>
    <w:rsid w:val="001117A8"/>
    <w:rsid w:val="0011201C"/>
    <w:rsid w:val="00113D7F"/>
    <w:rsid w:val="001256E3"/>
    <w:rsid w:val="001401B7"/>
    <w:rsid w:val="00174D58"/>
    <w:rsid w:val="001802F6"/>
    <w:rsid w:val="001A4962"/>
    <w:rsid w:val="001C012C"/>
    <w:rsid w:val="001D54D3"/>
    <w:rsid w:val="001F5D4C"/>
    <w:rsid w:val="002075F3"/>
    <w:rsid w:val="002078A9"/>
    <w:rsid w:val="00214E4A"/>
    <w:rsid w:val="00216207"/>
    <w:rsid w:val="00216FF8"/>
    <w:rsid w:val="00221FB9"/>
    <w:rsid w:val="0022406A"/>
    <w:rsid w:val="0025164C"/>
    <w:rsid w:val="0025752D"/>
    <w:rsid w:val="0027150D"/>
    <w:rsid w:val="00282E3D"/>
    <w:rsid w:val="002A5AA4"/>
    <w:rsid w:val="002B4721"/>
    <w:rsid w:val="002B482E"/>
    <w:rsid w:val="002B4FA2"/>
    <w:rsid w:val="002B5902"/>
    <w:rsid w:val="002C2E03"/>
    <w:rsid w:val="002C3650"/>
    <w:rsid w:val="002D595A"/>
    <w:rsid w:val="002D7210"/>
    <w:rsid w:val="002E4C3C"/>
    <w:rsid w:val="002E4F69"/>
    <w:rsid w:val="002F19CB"/>
    <w:rsid w:val="00310D48"/>
    <w:rsid w:val="00327A34"/>
    <w:rsid w:val="00345116"/>
    <w:rsid w:val="00351689"/>
    <w:rsid w:val="00370C95"/>
    <w:rsid w:val="00371A6C"/>
    <w:rsid w:val="00372B26"/>
    <w:rsid w:val="00384377"/>
    <w:rsid w:val="003875DF"/>
    <w:rsid w:val="00387718"/>
    <w:rsid w:val="00391215"/>
    <w:rsid w:val="00396385"/>
    <w:rsid w:val="00396F2A"/>
    <w:rsid w:val="003B487F"/>
    <w:rsid w:val="003C1534"/>
    <w:rsid w:val="003C7B60"/>
    <w:rsid w:val="003D2A18"/>
    <w:rsid w:val="003D4899"/>
    <w:rsid w:val="003E07D9"/>
    <w:rsid w:val="003E21F2"/>
    <w:rsid w:val="003E6E1E"/>
    <w:rsid w:val="00401558"/>
    <w:rsid w:val="00402400"/>
    <w:rsid w:val="004223C6"/>
    <w:rsid w:val="00436E8B"/>
    <w:rsid w:val="00450884"/>
    <w:rsid w:val="004523A5"/>
    <w:rsid w:val="0046530D"/>
    <w:rsid w:val="00477537"/>
    <w:rsid w:val="00477EF0"/>
    <w:rsid w:val="004A1641"/>
    <w:rsid w:val="004A338A"/>
    <w:rsid w:val="004A4849"/>
    <w:rsid w:val="004C0546"/>
    <w:rsid w:val="004E541C"/>
    <w:rsid w:val="004E6C6B"/>
    <w:rsid w:val="004F3CDA"/>
    <w:rsid w:val="005005FF"/>
    <w:rsid w:val="00502B79"/>
    <w:rsid w:val="005101CE"/>
    <w:rsid w:val="0051119A"/>
    <w:rsid w:val="00530CB6"/>
    <w:rsid w:val="005409C2"/>
    <w:rsid w:val="00541959"/>
    <w:rsid w:val="00553A10"/>
    <w:rsid w:val="005639F1"/>
    <w:rsid w:val="005703D9"/>
    <w:rsid w:val="005778B9"/>
    <w:rsid w:val="005979B3"/>
    <w:rsid w:val="005B0C12"/>
    <w:rsid w:val="005C7255"/>
    <w:rsid w:val="005D7AD6"/>
    <w:rsid w:val="006138A7"/>
    <w:rsid w:val="006379ED"/>
    <w:rsid w:val="00680B54"/>
    <w:rsid w:val="00687BF5"/>
    <w:rsid w:val="00697183"/>
    <w:rsid w:val="006A7A69"/>
    <w:rsid w:val="006F3596"/>
    <w:rsid w:val="006F526C"/>
    <w:rsid w:val="006F7CC9"/>
    <w:rsid w:val="0070401C"/>
    <w:rsid w:val="00714EB3"/>
    <w:rsid w:val="00727E4D"/>
    <w:rsid w:val="00732A52"/>
    <w:rsid w:val="00740C94"/>
    <w:rsid w:val="00754330"/>
    <w:rsid w:val="00756351"/>
    <w:rsid w:val="00782DF5"/>
    <w:rsid w:val="00796462"/>
    <w:rsid w:val="007A227B"/>
    <w:rsid w:val="007A33BF"/>
    <w:rsid w:val="007A6498"/>
    <w:rsid w:val="007B0929"/>
    <w:rsid w:val="007B1E2F"/>
    <w:rsid w:val="007D2883"/>
    <w:rsid w:val="007E1B22"/>
    <w:rsid w:val="007E2EF7"/>
    <w:rsid w:val="007E6C39"/>
    <w:rsid w:val="0080172C"/>
    <w:rsid w:val="0081014E"/>
    <w:rsid w:val="00812401"/>
    <w:rsid w:val="00815D72"/>
    <w:rsid w:val="008167BE"/>
    <w:rsid w:val="008201AD"/>
    <w:rsid w:val="00823AC8"/>
    <w:rsid w:val="00846678"/>
    <w:rsid w:val="008726FA"/>
    <w:rsid w:val="008737A6"/>
    <w:rsid w:val="008865D4"/>
    <w:rsid w:val="008B5A1C"/>
    <w:rsid w:val="008B6C37"/>
    <w:rsid w:val="008C66F9"/>
    <w:rsid w:val="008F2234"/>
    <w:rsid w:val="00906B3E"/>
    <w:rsid w:val="00906D81"/>
    <w:rsid w:val="009250AB"/>
    <w:rsid w:val="00930514"/>
    <w:rsid w:val="00932207"/>
    <w:rsid w:val="00933A1A"/>
    <w:rsid w:val="0093725C"/>
    <w:rsid w:val="00943B14"/>
    <w:rsid w:val="00950BD0"/>
    <w:rsid w:val="00951984"/>
    <w:rsid w:val="009519C6"/>
    <w:rsid w:val="009621CD"/>
    <w:rsid w:val="009678F8"/>
    <w:rsid w:val="0097196E"/>
    <w:rsid w:val="00973685"/>
    <w:rsid w:val="00975B0E"/>
    <w:rsid w:val="00990FB7"/>
    <w:rsid w:val="00991589"/>
    <w:rsid w:val="009A7C34"/>
    <w:rsid w:val="009A7C9A"/>
    <w:rsid w:val="009B4EF4"/>
    <w:rsid w:val="009B69FE"/>
    <w:rsid w:val="009C6793"/>
    <w:rsid w:val="009D29A3"/>
    <w:rsid w:val="009F1186"/>
    <w:rsid w:val="00A00F40"/>
    <w:rsid w:val="00A05CC9"/>
    <w:rsid w:val="00A06E1A"/>
    <w:rsid w:val="00A07635"/>
    <w:rsid w:val="00A13A41"/>
    <w:rsid w:val="00A1716A"/>
    <w:rsid w:val="00A20F9F"/>
    <w:rsid w:val="00A210CF"/>
    <w:rsid w:val="00A22DD1"/>
    <w:rsid w:val="00A25422"/>
    <w:rsid w:val="00A25503"/>
    <w:rsid w:val="00A25B2D"/>
    <w:rsid w:val="00A36682"/>
    <w:rsid w:val="00A470D9"/>
    <w:rsid w:val="00A64906"/>
    <w:rsid w:val="00A6493A"/>
    <w:rsid w:val="00A66661"/>
    <w:rsid w:val="00A97FEA"/>
    <w:rsid w:val="00AB3868"/>
    <w:rsid w:val="00AD7A67"/>
    <w:rsid w:val="00AE5234"/>
    <w:rsid w:val="00AF1D8A"/>
    <w:rsid w:val="00AF6C25"/>
    <w:rsid w:val="00B33FF2"/>
    <w:rsid w:val="00B50CD6"/>
    <w:rsid w:val="00B55E8B"/>
    <w:rsid w:val="00B7238C"/>
    <w:rsid w:val="00B96017"/>
    <w:rsid w:val="00BC0429"/>
    <w:rsid w:val="00BD4ADF"/>
    <w:rsid w:val="00BE0D51"/>
    <w:rsid w:val="00BE188E"/>
    <w:rsid w:val="00BF2386"/>
    <w:rsid w:val="00BF3AAE"/>
    <w:rsid w:val="00BF52BD"/>
    <w:rsid w:val="00BF6E2F"/>
    <w:rsid w:val="00BF7A87"/>
    <w:rsid w:val="00C00125"/>
    <w:rsid w:val="00C01DB6"/>
    <w:rsid w:val="00C20334"/>
    <w:rsid w:val="00C22AD3"/>
    <w:rsid w:val="00C508D1"/>
    <w:rsid w:val="00C603FA"/>
    <w:rsid w:val="00C71339"/>
    <w:rsid w:val="00C72132"/>
    <w:rsid w:val="00C77E5C"/>
    <w:rsid w:val="00C92ED0"/>
    <w:rsid w:val="00CA79EC"/>
    <w:rsid w:val="00CC0072"/>
    <w:rsid w:val="00CD02C0"/>
    <w:rsid w:val="00CE48B5"/>
    <w:rsid w:val="00CE51E8"/>
    <w:rsid w:val="00CE62B0"/>
    <w:rsid w:val="00D2002A"/>
    <w:rsid w:val="00D202CC"/>
    <w:rsid w:val="00D50ED3"/>
    <w:rsid w:val="00D52022"/>
    <w:rsid w:val="00D57B02"/>
    <w:rsid w:val="00D614BC"/>
    <w:rsid w:val="00D63058"/>
    <w:rsid w:val="00D70072"/>
    <w:rsid w:val="00D701A5"/>
    <w:rsid w:val="00D70AE3"/>
    <w:rsid w:val="00D97E58"/>
    <w:rsid w:val="00DA1F42"/>
    <w:rsid w:val="00DD463C"/>
    <w:rsid w:val="00DD58DB"/>
    <w:rsid w:val="00DE7100"/>
    <w:rsid w:val="00DF60A7"/>
    <w:rsid w:val="00E3251B"/>
    <w:rsid w:val="00E35BFA"/>
    <w:rsid w:val="00E44FF7"/>
    <w:rsid w:val="00E62BA3"/>
    <w:rsid w:val="00E7435B"/>
    <w:rsid w:val="00E76834"/>
    <w:rsid w:val="00E80B5F"/>
    <w:rsid w:val="00E83E0D"/>
    <w:rsid w:val="00E87C42"/>
    <w:rsid w:val="00E9288A"/>
    <w:rsid w:val="00E9362E"/>
    <w:rsid w:val="00E93794"/>
    <w:rsid w:val="00EA37BD"/>
    <w:rsid w:val="00EA501F"/>
    <w:rsid w:val="00EB5602"/>
    <w:rsid w:val="00EC5412"/>
    <w:rsid w:val="00EC7C27"/>
    <w:rsid w:val="00EF079A"/>
    <w:rsid w:val="00F2058C"/>
    <w:rsid w:val="00F22480"/>
    <w:rsid w:val="00F24A99"/>
    <w:rsid w:val="00F508BE"/>
    <w:rsid w:val="00F5528E"/>
    <w:rsid w:val="00F804B3"/>
    <w:rsid w:val="00F86244"/>
    <w:rsid w:val="00F8642C"/>
    <w:rsid w:val="00F9056A"/>
    <w:rsid w:val="00F92889"/>
    <w:rsid w:val="00FA0F59"/>
    <w:rsid w:val="00FB28E8"/>
    <w:rsid w:val="00FB4E66"/>
    <w:rsid w:val="00FD2ACD"/>
    <w:rsid w:val="00FF4D4A"/>
    <w:rsid w:val="00FF66E9"/>
    <w:rsid w:val="01142B87"/>
    <w:rsid w:val="01145609"/>
    <w:rsid w:val="01314F6C"/>
    <w:rsid w:val="013D290D"/>
    <w:rsid w:val="018C519F"/>
    <w:rsid w:val="01AF5332"/>
    <w:rsid w:val="01C02296"/>
    <w:rsid w:val="01E054EB"/>
    <w:rsid w:val="0261487E"/>
    <w:rsid w:val="0297204E"/>
    <w:rsid w:val="02996215"/>
    <w:rsid w:val="03140887"/>
    <w:rsid w:val="03152B33"/>
    <w:rsid w:val="03644AF7"/>
    <w:rsid w:val="0376282A"/>
    <w:rsid w:val="037A3A25"/>
    <w:rsid w:val="038E7705"/>
    <w:rsid w:val="03B6737C"/>
    <w:rsid w:val="03C5736E"/>
    <w:rsid w:val="03CC3F79"/>
    <w:rsid w:val="03EE2141"/>
    <w:rsid w:val="04175528"/>
    <w:rsid w:val="04C12814"/>
    <w:rsid w:val="04D171D5"/>
    <w:rsid w:val="050A4C6D"/>
    <w:rsid w:val="055A235A"/>
    <w:rsid w:val="055A4D0C"/>
    <w:rsid w:val="056326BB"/>
    <w:rsid w:val="05926AFC"/>
    <w:rsid w:val="059646F9"/>
    <w:rsid w:val="05D71955"/>
    <w:rsid w:val="06212BB5"/>
    <w:rsid w:val="068E240A"/>
    <w:rsid w:val="07152133"/>
    <w:rsid w:val="07391925"/>
    <w:rsid w:val="074A0151"/>
    <w:rsid w:val="074A3B33"/>
    <w:rsid w:val="0750785B"/>
    <w:rsid w:val="07723036"/>
    <w:rsid w:val="078510E1"/>
    <w:rsid w:val="07D5020F"/>
    <w:rsid w:val="07FF1FB2"/>
    <w:rsid w:val="085D3204"/>
    <w:rsid w:val="08713341"/>
    <w:rsid w:val="08915791"/>
    <w:rsid w:val="08946E4C"/>
    <w:rsid w:val="08BB1CE8"/>
    <w:rsid w:val="08BC7CBE"/>
    <w:rsid w:val="08BF22FE"/>
    <w:rsid w:val="08C47915"/>
    <w:rsid w:val="08CA47FF"/>
    <w:rsid w:val="09524F20"/>
    <w:rsid w:val="09AA6B0A"/>
    <w:rsid w:val="0A273CA8"/>
    <w:rsid w:val="0A3801F0"/>
    <w:rsid w:val="0A4E393A"/>
    <w:rsid w:val="0A811784"/>
    <w:rsid w:val="0ABD461B"/>
    <w:rsid w:val="0AC54D5A"/>
    <w:rsid w:val="0B9F6E63"/>
    <w:rsid w:val="0BE300B2"/>
    <w:rsid w:val="0BE57949"/>
    <w:rsid w:val="0BED3157"/>
    <w:rsid w:val="0C78463A"/>
    <w:rsid w:val="0CAC0DEC"/>
    <w:rsid w:val="0D4D15B7"/>
    <w:rsid w:val="0D52150D"/>
    <w:rsid w:val="0D8C2DBD"/>
    <w:rsid w:val="0DF21794"/>
    <w:rsid w:val="0E914E7A"/>
    <w:rsid w:val="0F855734"/>
    <w:rsid w:val="0F8B2F3A"/>
    <w:rsid w:val="102173FB"/>
    <w:rsid w:val="10494BC2"/>
    <w:rsid w:val="105E41AB"/>
    <w:rsid w:val="108828DF"/>
    <w:rsid w:val="10BF7A67"/>
    <w:rsid w:val="11203B56"/>
    <w:rsid w:val="1150529B"/>
    <w:rsid w:val="116C6248"/>
    <w:rsid w:val="119D53EB"/>
    <w:rsid w:val="11AC25BB"/>
    <w:rsid w:val="11C36097"/>
    <w:rsid w:val="11DA48AE"/>
    <w:rsid w:val="11FA76C0"/>
    <w:rsid w:val="12693A8D"/>
    <w:rsid w:val="12AF6F40"/>
    <w:rsid w:val="13315BA7"/>
    <w:rsid w:val="133A5BF2"/>
    <w:rsid w:val="136A10B9"/>
    <w:rsid w:val="13BD577E"/>
    <w:rsid w:val="13D1738A"/>
    <w:rsid w:val="13D50719"/>
    <w:rsid w:val="13FA42C2"/>
    <w:rsid w:val="14060EC2"/>
    <w:rsid w:val="140D1657"/>
    <w:rsid w:val="14515DD5"/>
    <w:rsid w:val="14551D69"/>
    <w:rsid w:val="148D2C4E"/>
    <w:rsid w:val="14B4485D"/>
    <w:rsid w:val="14B84BC3"/>
    <w:rsid w:val="14C36CD2"/>
    <w:rsid w:val="14C67E42"/>
    <w:rsid w:val="14F82D7F"/>
    <w:rsid w:val="153932B8"/>
    <w:rsid w:val="15453AD6"/>
    <w:rsid w:val="155D28A9"/>
    <w:rsid w:val="158C6F70"/>
    <w:rsid w:val="159B558D"/>
    <w:rsid w:val="15A72150"/>
    <w:rsid w:val="15D805CA"/>
    <w:rsid w:val="164A3E7E"/>
    <w:rsid w:val="169311EC"/>
    <w:rsid w:val="16A62408"/>
    <w:rsid w:val="16C21F84"/>
    <w:rsid w:val="16CB1E6E"/>
    <w:rsid w:val="16FF5B47"/>
    <w:rsid w:val="171C3891"/>
    <w:rsid w:val="17216A3A"/>
    <w:rsid w:val="176022CD"/>
    <w:rsid w:val="177B7D38"/>
    <w:rsid w:val="17996410"/>
    <w:rsid w:val="180F222F"/>
    <w:rsid w:val="18275FAD"/>
    <w:rsid w:val="182C3E06"/>
    <w:rsid w:val="186315A6"/>
    <w:rsid w:val="188F5243"/>
    <w:rsid w:val="18B41207"/>
    <w:rsid w:val="18C748B7"/>
    <w:rsid w:val="18F7519C"/>
    <w:rsid w:val="193B4980"/>
    <w:rsid w:val="194303E2"/>
    <w:rsid w:val="19481E9C"/>
    <w:rsid w:val="197131A1"/>
    <w:rsid w:val="197532B5"/>
    <w:rsid w:val="1A411258"/>
    <w:rsid w:val="1A417996"/>
    <w:rsid w:val="1A7B1DFD"/>
    <w:rsid w:val="1A831339"/>
    <w:rsid w:val="1AB71087"/>
    <w:rsid w:val="1ABA0B77"/>
    <w:rsid w:val="1AC87521"/>
    <w:rsid w:val="1ADA154E"/>
    <w:rsid w:val="1AF57C12"/>
    <w:rsid w:val="1B4B17D0"/>
    <w:rsid w:val="1B6823A3"/>
    <w:rsid w:val="1B7900EB"/>
    <w:rsid w:val="1B943177"/>
    <w:rsid w:val="1BC163E6"/>
    <w:rsid w:val="1C4050AC"/>
    <w:rsid w:val="1CB17D58"/>
    <w:rsid w:val="1CBA56B7"/>
    <w:rsid w:val="1CC42ADC"/>
    <w:rsid w:val="1CC7495F"/>
    <w:rsid w:val="1CF21E8B"/>
    <w:rsid w:val="1D232A04"/>
    <w:rsid w:val="1D88524C"/>
    <w:rsid w:val="1DA13929"/>
    <w:rsid w:val="1DAF149F"/>
    <w:rsid w:val="1DB47B00"/>
    <w:rsid w:val="1DC42CAB"/>
    <w:rsid w:val="1DE875D6"/>
    <w:rsid w:val="1E122FDE"/>
    <w:rsid w:val="1E2527AC"/>
    <w:rsid w:val="1E2F500A"/>
    <w:rsid w:val="1E8219AC"/>
    <w:rsid w:val="1EF1268E"/>
    <w:rsid w:val="1F175566"/>
    <w:rsid w:val="1F207391"/>
    <w:rsid w:val="1F262635"/>
    <w:rsid w:val="1F8452B0"/>
    <w:rsid w:val="1FCE483F"/>
    <w:rsid w:val="20052895"/>
    <w:rsid w:val="200F66CF"/>
    <w:rsid w:val="205E6666"/>
    <w:rsid w:val="206D40FA"/>
    <w:rsid w:val="210730D2"/>
    <w:rsid w:val="212D4530"/>
    <w:rsid w:val="214628F2"/>
    <w:rsid w:val="21815F4B"/>
    <w:rsid w:val="21836641"/>
    <w:rsid w:val="21B93937"/>
    <w:rsid w:val="21C85928"/>
    <w:rsid w:val="21D057D0"/>
    <w:rsid w:val="224A458F"/>
    <w:rsid w:val="22902202"/>
    <w:rsid w:val="22937812"/>
    <w:rsid w:val="22A068A5"/>
    <w:rsid w:val="22B0753C"/>
    <w:rsid w:val="230C6782"/>
    <w:rsid w:val="232A616E"/>
    <w:rsid w:val="233A2855"/>
    <w:rsid w:val="24207C9D"/>
    <w:rsid w:val="24661428"/>
    <w:rsid w:val="248D4C07"/>
    <w:rsid w:val="24B623B0"/>
    <w:rsid w:val="24BB79C6"/>
    <w:rsid w:val="24EC5DD1"/>
    <w:rsid w:val="252437BD"/>
    <w:rsid w:val="253B62B2"/>
    <w:rsid w:val="256D7AD2"/>
    <w:rsid w:val="264176AC"/>
    <w:rsid w:val="266C38AB"/>
    <w:rsid w:val="266C3BC0"/>
    <w:rsid w:val="266D2F42"/>
    <w:rsid w:val="26AC5120"/>
    <w:rsid w:val="27C44366"/>
    <w:rsid w:val="27D843EB"/>
    <w:rsid w:val="27E601B9"/>
    <w:rsid w:val="284301C5"/>
    <w:rsid w:val="285C6DCA"/>
    <w:rsid w:val="28862099"/>
    <w:rsid w:val="28FF2112"/>
    <w:rsid w:val="29485A17"/>
    <w:rsid w:val="296557C6"/>
    <w:rsid w:val="2A227306"/>
    <w:rsid w:val="2A6C52BE"/>
    <w:rsid w:val="2A8757EE"/>
    <w:rsid w:val="2A9C5BA4"/>
    <w:rsid w:val="2ABC1DA2"/>
    <w:rsid w:val="2B1B11BE"/>
    <w:rsid w:val="2B400C25"/>
    <w:rsid w:val="2B6C5576"/>
    <w:rsid w:val="2B7C0D1D"/>
    <w:rsid w:val="2B8A1EA0"/>
    <w:rsid w:val="2BBD673E"/>
    <w:rsid w:val="2BC929C8"/>
    <w:rsid w:val="2BDA5853"/>
    <w:rsid w:val="2C534988"/>
    <w:rsid w:val="2C574478"/>
    <w:rsid w:val="2C637441"/>
    <w:rsid w:val="2C6D5A4A"/>
    <w:rsid w:val="2C864D5D"/>
    <w:rsid w:val="2C8E556C"/>
    <w:rsid w:val="2D7743BB"/>
    <w:rsid w:val="2DA52FC1"/>
    <w:rsid w:val="2DDB69E3"/>
    <w:rsid w:val="2DE53D06"/>
    <w:rsid w:val="2DF14458"/>
    <w:rsid w:val="2E3D144C"/>
    <w:rsid w:val="2E4D6B60"/>
    <w:rsid w:val="2ED10F21"/>
    <w:rsid w:val="2EDA6C9B"/>
    <w:rsid w:val="2F05640D"/>
    <w:rsid w:val="2F1228D8"/>
    <w:rsid w:val="2F300FB0"/>
    <w:rsid w:val="2F34568E"/>
    <w:rsid w:val="2F6963FB"/>
    <w:rsid w:val="2F745341"/>
    <w:rsid w:val="2F860BD0"/>
    <w:rsid w:val="2FA6707B"/>
    <w:rsid w:val="2FEB6F66"/>
    <w:rsid w:val="301420D8"/>
    <w:rsid w:val="301958D7"/>
    <w:rsid w:val="30423A40"/>
    <w:rsid w:val="304A7E50"/>
    <w:rsid w:val="306929CC"/>
    <w:rsid w:val="30DF7D26"/>
    <w:rsid w:val="310F3573"/>
    <w:rsid w:val="31201925"/>
    <w:rsid w:val="31264CF7"/>
    <w:rsid w:val="312D57A8"/>
    <w:rsid w:val="31505C80"/>
    <w:rsid w:val="318C7A50"/>
    <w:rsid w:val="31B00187"/>
    <w:rsid w:val="31CA5792"/>
    <w:rsid w:val="31D52C3A"/>
    <w:rsid w:val="31EA3699"/>
    <w:rsid w:val="32136EC8"/>
    <w:rsid w:val="32280B4C"/>
    <w:rsid w:val="32355DA7"/>
    <w:rsid w:val="32546D64"/>
    <w:rsid w:val="32650697"/>
    <w:rsid w:val="326A5758"/>
    <w:rsid w:val="32760C2A"/>
    <w:rsid w:val="3281224F"/>
    <w:rsid w:val="333D75D3"/>
    <w:rsid w:val="333D7EF8"/>
    <w:rsid w:val="336B6EE3"/>
    <w:rsid w:val="33A361F5"/>
    <w:rsid w:val="33A73607"/>
    <w:rsid w:val="33D12D62"/>
    <w:rsid w:val="33E87093"/>
    <w:rsid w:val="34064BC6"/>
    <w:rsid w:val="34251A3C"/>
    <w:rsid w:val="34AC3E2A"/>
    <w:rsid w:val="34BE74D4"/>
    <w:rsid w:val="352C3774"/>
    <w:rsid w:val="3542530C"/>
    <w:rsid w:val="356E638F"/>
    <w:rsid w:val="356F1F1A"/>
    <w:rsid w:val="35A3428A"/>
    <w:rsid w:val="36101C06"/>
    <w:rsid w:val="36951020"/>
    <w:rsid w:val="3698058A"/>
    <w:rsid w:val="36AE0FE6"/>
    <w:rsid w:val="36F01751"/>
    <w:rsid w:val="37434E38"/>
    <w:rsid w:val="37DB12B8"/>
    <w:rsid w:val="37F012DD"/>
    <w:rsid w:val="383A3E56"/>
    <w:rsid w:val="384F2912"/>
    <w:rsid w:val="385E0B7D"/>
    <w:rsid w:val="387E1954"/>
    <w:rsid w:val="38CD1C41"/>
    <w:rsid w:val="391638C9"/>
    <w:rsid w:val="39A2473F"/>
    <w:rsid w:val="39A43D79"/>
    <w:rsid w:val="39A75836"/>
    <w:rsid w:val="39A9163F"/>
    <w:rsid w:val="39E364EC"/>
    <w:rsid w:val="3A23270A"/>
    <w:rsid w:val="3AD2116E"/>
    <w:rsid w:val="3AD9074E"/>
    <w:rsid w:val="3AE35129"/>
    <w:rsid w:val="3AF67C8F"/>
    <w:rsid w:val="3B1A3D56"/>
    <w:rsid w:val="3B1F7427"/>
    <w:rsid w:val="3B331C0C"/>
    <w:rsid w:val="3BD50F16"/>
    <w:rsid w:val="3BEE1905"/>
    <w:rsid w:val="3C7A5FDE"/>
    <w:rsid w:val="3C983C09"/>
    <w:rsid w:val="3CAA23A2"/>
    <w:rsid w:val="3CCD6091"/>
    <w:rsid w:val="3CDC14CC"/>
    <w:rsid w:val="3CE1162D"/>
    <w:rsid w:val="3D2D6B2F"/>
    <w:rsid w:val="3D3E0D3C"/>
    <w:rsid w:val="3D404D73"/>
    <w:rsid w:val="3DCB0822"/>
    <w:rsid w:val="3E0510A6"/>
    <w:rsid w:val="3E29379B"/>
    <w:rsid w:val="3E3E3694"/>
    <w:rsid w:val="3E5720B6"/>
    <w:rsid w:val="3E575B43"/>
    <w:rsid w:val="3EA5089C"/>
    <w:rsid w:val="3EA6303D"/>
    <w:rsid w:val="3EAE5A4E"/>
    <w:rsid w:val="3EEA5B9A"/>
    <w:rsid w:val="3F0D203C"/>
    <w:rsid w:val="3F42649C"/>
    <w:rsid w:val="3F671C45"/>
    <w:rsid w:val="3F7D5B4C"/>
    <w:rsid w:val="3FBD00F6"/>
    <w:rsid w:val="401D7D63"/>
    <w:rsid w:val="40681BA6"/>
    <w:rsid w:val="40CA39CB"/>
    <w:rsid w:val="40EE65D6"/>
    <w:rsid w:val="410638A6"/>
    <w:rsid w:val="415907BD"/>
    <w:rsid w:val="41736037"/>
    <w:rsid w:val="41790595"/>
    <w:rsid w:val="41C51A2C"/>
    <w:rsid w:val="41EE2D31"/>
    <w:rsid w:val="423C69D9"/>
    <w:rsid w:val="428F6AAD"/>
    <w:rsid w:val="42D02225"/>
    <w:rsid w:val="432B0ECD"/>
    <w:rsid w:val="43A37B4B"/>
    <w:rsid w:val="43D16466"/>
    <w:rsid w:val="43DE6767"/>
    <w:rsid w:val="43E57F4E"/>
    <w:rsid w:val="443609BF"/>
    <w:rsid w:val="444641F0"/>
    <w:rsid w:val="445D0F5F"/>
    <w:rsid w:val="4466774F"/>
    <w:rsid w:val="453B1026"/>
    <w:rsid w:val="453E3FCF"/>
    <w:rsid w:val="45BE0C6C"/>
    <w:rsid w:val="45CE1321"/>
    <w:rsid w:val="45D068E6"/>
    <w:rsid w:val="45D23AB3"/>
    <w:rsid w:val="464D5DEC"/>
    <w:rsid w:val="466C77FF"/>
    <w:rsid w:val="46A14816"/>
    <w:rsid w:val="46CF6763"/>
    <w:rsid w:val="46F92643"/>
    <w:rsid w:val="47226FD9"/>
    <w:rsid w:val="4729646B"/>
    <w:rsid w:val="47800598"/>
    <w:rsid w:val="47BE7C84"/>
    <w:rsid w:val="480037BE"/>
    <w:rsid w:val="4803505C"/>
    <w:rsid w:val="48141018"/>
    <w:rsid w:val="48A56114"/>
    <w:rsid w:val="48C02D2F"/>
    <w:rsid w:val="49052769"/>
    <w:rsid w:val="49184025"/>
    <w:rsid w:val="492C3879"/>
    <w:rsid w:val="497950A9"/>
    <w:rsid w:val="49D10191"/>
    <w:rsid w:val="49D14008"/>
    <w:rsid w:val="49EB7B56"/>
    <w:rsid w:val="49F509D5"/>
    <w:rsid w:val="49FF6325"/>
    <w:rsid w:val="4A0E24AB"/>
    <w:rsid w:val="4A5B2F2E"/>
    <w:rsid w:val="4A6E7F39"/>
    <w:rsid w:val="4A940351"/>
    <w:rsid w:val="4ACD51FF"/>
    <w:rsid w:val="4B013AD5"/>
    <w:rsid w:val="4B3E6E12"/>
    <w:rsid w:val="4B4B001E"/>
    <w:rsid w:val="4B6B0F4E"/>
    <w:rsid w:val="4B92472D"/>
    <w:rsid w:val="4B9E330C"/>
    <w:rsid w:val="4BC845F3"/>
    <w:rsid w:val="4C0501E3"/>
    <w:rsid w:val="4C14667C"/>
    <w:rsid w:val="4C1C493F"/>
    <w:rsid w:val="4C2D26A8"/>
    <w:rsid w:val="4C46376A"/>
    <w:rsid w:val="4C8524E4"/>
    <w:rsid w:val="4CE358C0"/>
    <w:rsid w:val="4D355CB8"/>
    <w:rsid w:val="4D4E0B28"/>
    <w:rsid w:val="4D564B0B"/>
    <w:rsid w:val="4E022E2E"/>
    <w:rsid w:val="4E055E45"/>
    <w:rsid w:val="4E384CBD"/>
    <w:rsid w:val="4E4837C9"/>
    <w:rsid w:val="4E9D3807"/>
    <w:rsid w:val="4EAD5D22"/>
    <w:rsid w:val="4EDA7B87"/>
    <w:rsid w:val="4EE61A2D"/>
    <w:rsid w:val="4F044143"/>
    <w:rsid w:val="4F4405DB"/>
    <w:rsid w:val="4F710AFD"/>
    <w:rsid w:val="4F9111A0"/>
    <w:rsid w:val="50075A68"/>
    <w:rsid w:val="509B22D6"/>
    <w:rsid w:val="50EB50F9"/>
    <w:rsid w:val="50F347A1"/>
    <w:rsid w:val="50F9524E"/>
    <w:rsid w:val="51024103"/>
    <w:rsid w:val="510671BD"/>
    <w:rsid w:val="514E559A"/>
    <w:rsid w:val="517448D5"/>
    <w:rsid w:val="51A766C5"/>
    <w:rsid w:val="51CB6BEB"/>
    <w:rsid w:val="51F77775"/>
    <w:rsid w:val="52086CED"/>
    <w:rsid w:val="52100AA2"/>
    <w:rsid w:val="523A78CD"/>
    <w:rsid w:val="527357F7"/>
    <w:rsid w:val="52742866"/>
    <w:rsid w:val="52AA01DD"/>
    <w:rsid w:val="532760A3"/>
    <w:rsid w:val="533B38FC"/>
    <w:rsid w:val="53582700"/>
    <w:rsid w:val="536955EC"/>
    <w:rsid w:val="53803A05"/>
    <w:rsid w:val="53CA3371"/>
    <w:rsid w:val="53D338A0"/>
    <w:rsid w:val="54425C75"/>
    <w:rsid w:val="54563EBE"/>
    <w:rsid w:val="54634B07"/>
    <w:rsid w:val="548357AA"/>
    <w:rsid w:val="54C2712D"/>
    <w:rsid w:val="54CD7B34"/>
    <w:rsid w:val="5516017D"/>
    <w:rsid w:val="553618FB"/>
    <w:rsid w:val="55733DC6"/>
    <w:rsid w:val="558F6181"/>
    <w:rsid w:val="55A83C13"/>
    <w:rsid w:val="5640122A"/>
    <w:rsid w:val="56665134"/>
    <w:rsid w:val="56A84CA2"/>
    <w:rsid w:val="56D007FF"/>
    <w:rsid w:val="56FE35BF"/>
    <w:rsid w:val="571B7CCD"/>
    <w:rsid w:val="57927D29"/>
    <w:rsid w:val="57DA0A4F"/>
    <w:rsid w:val="58493DC7"/>
    <w:rsid w:val="584C2108"/>
    <w:rsid w:val="58973B6A"/>
    <w:rsid w:val="58EB2348"/>
    <w:rsid w:val="592530E1"/>
    <w:rsid w:val="59955E7D"/>
    <w:rsid w:val="59A20FE4"/>
    <w:rsid w:val="59AD7291"/>
    <w:rsid w:val="59B55AA5"/>
    <w:rsid w:val="59DE1485"/>
    <w:rsid w:val="59E4760D"/>
    <w:rsid w:val="59F91E1B"/>
    <w:rsid w:val="5A040EEC"/>
    <w:rsid w:val="5A0B40CF"/>
    <w:rsid w:val="5A1A0B70"/>
    <w:rsid w:val="5A1D1FAE"/>
    <w:rsid w:val="5A2A3B3D"/>
    <w:rsid w:val="5A307CED"/>
    <w:rsid w:val="5A5D4984"/>
    <w:rsid w:val="5A727313"/>
    <w:rsid w:val="5A7B6303"/>
    <w:rsid w:val="5ACB6147"/>
    <w:rsid w:val="5AF14E1D"/>
    <w:rsid w:val="5B09645E"/>
    <w:rsid w:val="5B182775"/>
    <w:rsid w:val="5B3B11ED"/>
    <w:rsid w:val="5B637E94"/>
    <w:rsid w:val="5B836FB3"/>
    <w:rsid w:val="5BBE0239"/>
    <w:rsid w:val="5BD448EE"/>
    <w:rsid w:val="5BE24954"/>
    <w:rsid w:val="5BF70B5B"/>
    <w:rsid w:val="5C050F4B"/>
    <w:rsid w:val="5C802540"/>
    <w:rsid w:val="5C8434D6"/>
    <w:rsid w:val="5C9B540C"/>
    <w:rsid w:val="5CA16EC6"/>
    <w:rsid w:val="5CDB2C89"/>
    <w:rsid w:val="5D066D29"/>
    <w:rsid w:val="5D077FFF"/>
    <w:rsid w:val="5DF62A3E"/>
    <w:rsid w:val="5DFD1850"/>
    <w:rsid w:val="5E385608"/>
    <w:rsid w:val="5E797DB4"/>
    <w:rsid w:val="5E8C71F4"/>
    <w:rsid w:val="5EAD0A48"/>
    <w:rsid w:val="5F2711D9"/>
    <w:rsid w:val="5F926F9A"/>
    <w:rsid w:val="5F9920D6"/>
    <w:rsid w:val="5FAF18FA"/>
    <w:rsid w:val="5FB05672"/>
    <w:rsid w:val="5FDA4AC5"/>
    <w:rsid w:val="60014D31"/>
    <w:rsid w:val="606446FD"/>
    <w:rsid w:val="60820DBC"/>
    <w:rsid w:val="60B3541A"/>
    <w:rsid w:val="610619ED"/>
    <w:rsid w:val="61AE7201"/>
    <w:rsid w:val="61CC5351"/>
    <w:rsid w:val="61E810F3"/>
    <w:rsid w:val="623477B4"/>
    <w:rsid w:val="62406462"/>
    <w:rsid w:val="6267026A"/>
    <w:rsid w:val="627604AD"/>
    <w:rsid w:val="62AC69A0"/>
    <w:rsid w:val="62DA4EE0"/>
    <w:rsid w:val="62E0001C"/>
    <w:rsid w:val="63844E4C"/>
    <w:rsid w:val="63B44D9E"/>
    <w:rsid w:val="63D04815"/>
    <w:rsid w:val="641D31F4"/>
    <w:rsid w:val="646F0031"/>
    <w:rsid w:val="64807FB8"/>
    <w:rsid w:val="648C220A"/>
    <w:rsid w:val="64D63189"/>
    <w:rsid w:val="65414DC6"/>
    <w:rsid w:val="65754B0E"/>
    <w:rsid w:val="65B66FA0"/>
    <w:rsid w:val="66715776"/>
    <w:rsid w:val="6692564A"/>
    <w:rsid w:val="66C64415"/>
    <w:rsid w:val="66D55C14"/>
    <w:rsid w:val="67093A50"/>
    <w:rsid w:val="677E641A"/>
    <w:rsid w:val="67BA61E8"/>
    <w:rsid w:val="68DD74D8"/>
    <w:rsid w:val="68E02B24"/>
    <w:rsid w:val="69A94E0C"/>
    <w:rsid w:val="69C86445"/>
    <w:rsid w:val="69FF522C"/>
    <w:rsid w:val="6A185253"/>
    <w:rsid w:val="6A1F044D"/>
    <w:rsid w:val="6A524A9D"/>
    <w:rsid w:val="6A7E25F5"/>
    <w:rsid w:val="6A8C0BBC"/>
    <w:rsid w:val="6AA53F2F"/>
    <w:rsid w:val="6ADC6566"/>
    <w:rsid w:val="6AFE3735"/>
    <w:rsid w:val="6B2C7782"/>
    <w:rsid w:val="6B5B5989"/>
    <w:rsid w:val="6B625A72"/>
    <w:rsid w:val="6B686E01"/>
    <w:rsid w:val="6B903F9B"/>
    <w:rsid w:val="6BA77929"/>
    <w:rsid w:val="6BD94D78"/>
    <w:rsid w:val="6BE96194"/>
    <w:rsid w:val="6BEE5558"/>
    <w:rsid w:val="6C092392"/>
    <w:rsid w:val="6C417D7E"/>
    <w:rsid w:val="6C47110C"/>
    <w:rsid w:val="6C64581A"/>
    <w:rsid w:val="6C7D63AC"/>
    <w:rsid w:val="6CC14A1B"/>
    <w:rsid w:val="6D0667A6"/>
    <w:rsid w:val="6D156B14"/>
    <w:rsid w:val="6D2A2F35"/>
    <w:rsid w:val="6D360AB0"/>
    <w:rsid w:val="6D734E33"/>
    <w:rsid w:val="6DBC33D5"/>
    <w:rsid w:val="6DFA3716"/>
    <w:rsid w:val="6E292877"/>
    <w:rsid w:val="6E49116B"/>
    <w:rsid w:val="6E775502"/>
    <w:rsid w:val="6EAB4343"/>
    <w:rsid w:val="6EB32A89"/>
    <w:rsid w:val="6EF14F0E"/>
    <w:rsid w:val="6F6D70DC"/>
    <w:rsid w:val="6F765F90"/>
    <w:rsid w:val="6F782FE2"/>
    <w:rsid w:val="7066064A"/>
    <w:rsid w:val="70BA4782"/>
    <w:rsid w:val="70EF2565"/>
    <w:rsid w:val="714C5B72"/>
    <w:rsid w:val="71551BD5"/>
    <w:rsid w:val="71D86ACE"/>
    <w:rsid w:val="71E967C5"/>
    <w:rsid w:val="72006795"/>
    <w:rsid w:val="722933A0"/>
    <w:rsid w:val="722C13C8"/>
    <w:rsid w:val="727964A1"/>
    <w:rsid w:val="72B37C4E"/>
    <w:rsid w:val="72C40DC1"/>
    <w:rsid w:val="72C82BBF"/>
    <w:rsid w:val="72CD7C81"/>
    <w:rsid w:val="72F316A6"/>
    <w:rsid w:val="733817AF"/>
    <w:rsid w:val="73412411"/>
    <w:rsid w:val="738E5ACB"/>
    <w:rsid w:val="73AF626D"/>
    <w:rsid w:val="73B76B77"/>
    <w:rsid w:val="73E11097"/>
    <w:rsid w:val="740379EB"/>
    <w:rsid w:val="74346277"/>
    <w:rsid w:val="74827185"/>
    <w:rsid w:val="74A06B51"/>
    <w:rsid w:val="74B55DA6"/>
    <w:rsid w:val="74FF07D6"/>
    <w:rsid w:val="750C6A4F"/>
    <w:rsid w:val="754500BC"/>
    <w:rsid w:val="75543C54"/>
    <w:rsid w:val="75556648"/>
    <w:rsid w:val="75877A89"/>
    <w:rsid w:val="75A137EC"/>
    <w:rsid w:val="760065B4"/>
    <w:rsid w:val="765406AD"/>
    <w:rsid w:val="76B0506B"/>
    <w:rsid w:val="76B259BC"/>
    <w:rsid w:val="76B4739E"/>
    <w:rsid w:val="76BF5F6B"/>
    <w:rsid w:val="779A6704"/>
    <w:rsid w:val="77A513AC"/>
    <w:rsid w:val="78413CD2"/>
    <w:rsid w:val="78981048"/>
    <w:rsid w:val="789B6166"/>
    <w:rsid w:val="78B277D5"/>
    <w:rsid w:val="78E454B3"/>
    <w:rsid w:val="795310F0"/>
    <w:rsid w:val="797D7F1B"/>
    <w:rsid w:val="797F7F69"/>
    <w:rsid w:val="79CC5566"/>
    <w:rsid w:val="79D02741"/>
    <w:rsid w:val="7A286EF1"/>
    <w:rsid w:val="7A5C5097"/>
    <w:rsid w:val="7A9C0875"/>
    <w:rsid w:val="7AF836D0"/>
    <w:rsid w:val="7B036D36"/>
    <w:rsid w:val="7B055850"/>
    <w:rsid w:val="7B7274CC"/>
    <w:rsid w:val="7B811F45"/>
    <w:rsid w:val="7C1D1629"/>
    <w:rsid w:val="7C4E45AF"/>
    <w:rsid w:val="7CEB7345"/>
    <w:rsid w:val="7CED360A"/>
    <w:rsid w:val="7CFC24CC"/>
    <w:rsid w:val="7D325E8B"/>
    <w:rsid w:val="7D463CC5"/>
    <w:rsid w:val="7D627C28"/>
    <w:rsid w:val="7D686C61"/>
    <w:rsid w:val="7D93164C"/>
    <w:rsid w:val="7DAA071D"/>
    <w:rsid w:val="7DBD4D8A"/>
    <w:rsid w:val="7DCB394B"/>
    <w:rsid w:val="7E010EF3"/>
    <w:rsid w:val="7E1E7DBE"/>
    <w:rsid w:val="7E2B2E0C"/>
    <w:rsid w:val="7E5020A2"/>
    <w:rsid w:val="7F703B31"/>
    <w:rsid w:val="7F7A3141"/>
    <w:rsid w:val="7FB14DC3"/>
    <w:rsid w:val="7FBF4FBD"/>
    <w:rsid w:val="7FDB6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8"/>
    <w:qFormat/>
    <w:uiPriority w:val="0"/>
    <w:pPr>
      <w:widowControl/>
      <w:spacing w:before="100" w:beforeAutospacing="1" w:after="100" w:afterAutospacing="1"/>
      <w:jc w:val="left"/>
      <w:outlineLvl w:val="1"/>
    </w:pPr>
    <w:rPr>
      <w:rFonts w:ascii="宋体" w:hAnsi="宋体" w:eastAsia="宋体" w:cs="宋体"/>
      <w:b/>
      <w:bCs/>
      <w:sz w:val="36"/>
      <w:szCs w:val="36"/>
    </w:rPr>
  </w:style>
  <w:style w:type="paragraph" w:styleId="4">
    <w:name w:val="heading 3"/>
    <w:basedOn w:val="1"/>
    <w:next w:val="1"/>
    <w:link w:val="39"/>
    <w:qFormat/>
    <w:uiPriority w:val="0"/>
    <w:pPr>
      <w:keepNext/>
      <w:keepLines/>
      <w:spacing w:before="260" w:after="260" w:line="413" w:lineRule="auto"/>
      <w:outlineLvl w:val="2"/>
    </w:pPr>
    <w:rPr>
      <w:rFonts w:ascii="Times New Roman" w:hAnsi="Times New Roman" w:eastAsia="宋体" w:cs="Times New Roman"/>
      <w:b/>
      <w:sz w:val="32"/>
      <w:szCs w:val="24"/>
    </w:r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5">
    <w:name w:val="toc 7"/>
    <w:basedOn w:val="1"/>
    <w:next w:val="1"/>
    <w:unhideWhenUsed/>
    <w:qFormat/>
    <w:uiPriority w:val="0"/>
    <w:pPr>
      <w:ind w:left="2520" w:leftChars="1200"/>
    </w:pPr>
  </w:style>
  <w:style w:type="paragraph" w:styleId="6">
    <w:name w:val="table of authorities"/>
    <w:basedOn w:val="1"/>
    <w:next w:val="1"/>
    <w:qFormat/>
    <w:uiPriority w:val="0"/>
    <w:pPr>
      <w:ind w:left="420" w:leftChars="200"/>
    </w:pPr>
    <w:rPr>
      <w:rFonts w:ascii="Times New Roman" w:hAnsi="Times New Roman" w:eastAsia="宋体" w:cs="Times New Roman"/>
      <w:szCs w:val="24"/>
    </w:rPr>
  </w:style>
  <w:style w:type="paragraph" w:styleId="7">
    <w:name w:val="annotation text"/>
    <w:basedOn w:val="1"/>
    <w:link w:val="57"/>
    <w:qFormat/>
    <w:uiPriority w:val="0"/>
    <w:pPr>
      <w:jc w:val="left"/>
    </w:pPr>
    <w:rPr>
      <w:szCs w:val="24"/>
    </w:rPr>
  </w:style>
  <w:style w:type="paragraph" w:styleId="8">
    <w:name w:val="Body Text"/>
    <w:basedOn w:val="1"/>
    <w:link w:val="64"/>
    <w:qFormat/>
    <w:uiPriority w:val="0"/>
    <w:pPr>
      <w:ind w:left="101"/>
    </w:pPr>
    <w:rPr>
      <w:rFonts w:ascii="宋体" w:hAnsi="宋体" w:eastAsia="宋体" w:cs="Times New Roman"/>
      <w:sz w:val="28"/>
      <w:szCs w:val="28"/>
    </w:rPr>
  </w:style>
  <w:style w:type="paragraph" w:styleId="9">
    <w:name w:val="Body Text Indent"/>
    <w:basedOn w:val="1"/>
    <w:link w:val="45"/>
    <w:qFormat/>
    <w:uiPriority w:val="0"/>
    <w:pPr>
      <w:ind w:left="720"/>
    </w:pPr>
    <w:rPr>
      <w:rFonts w:eastAsia="宋体"/>
      <w:szCs w:val="24"/>
    </w:rPr>
  </w:style>
  <w:style w:type="paragraph" w:styleId="10">
    <w:name w:val="toc 5"/>
    <w:basedOn w:val="1"/>
    <w:next w:val="1"/>
    <w:unhideWhenUsed/>
    <w:qFormat/>
    <w:uiPriority w:val="0"/>
    <w:pPr>
      <w:ind w:left="1680" w:leftChars="800"/>
    </w:pPr>
  </w:style>
  <w:style w:type="paragraph" w:styleId="11">
    <w:name w:val="toc 3"/>
    <w:basedOn w:val="1"/>
    <w:next w:val="1"/>
    <w:unhideWhenUsed/>
    <w:qFormat/>
    <w:uiPriority w:val="0"/>
    <w:pPr>
      <w:ind w:left="840" w:leftChars="400"/>
    </w:pPr>
  </w:style>
  <w:style w:type="paragraph" w:styleId="12">
    <w:name w:val="Plain Text"/>
    <w:basedOn w:val="1"/>
    <w:link w:val="47"/>
    <w:qFormat/>
    <w:uiPriority w:val="0"/>
    <w:rPr>
      <w:rFonts w:ascii="宋体" w:hAnsi="Courier New" w:eastAsia="宋体"/>
      <w:szCs w:val="21"/>
    </w:rPr>
  </w:style>
  <w:style w:type="paragraph" w:styleId="13">
    <w:name w:val="toc 8"/>
    <w:basedOn w:val="1"/>
    <w:next w:val="1"/>
    <w:unhideWhenUsed/>
    <w:qFormat/>
    <w:uiPriority w:val="0"/>
    <w:pPr>
      <w:ind w:left="2940" w:leftChars="1400"/>
    </w:pPr>
  </w:style>
  <w:style w:type="paragraph" w:styleId="14">
    <w:name w:val="Balloon Text"/>
    <w:basedOn w:val="1"/>
    <w:link w:val="50"/>
    <w:qFormat/>
    <w:uiPriority w:val="0"/>
    <w:rPr>
      <w:rFonts w:eastAsia="宋体"/>
      <w:sz w:val="18"/>
      <w:szCs w:val="18"/>
    </w:rPr>
  </w:style>
  <w:style w:type="paragraph" w:styleId="15">
    <w:name w:val="footer"/>
    <w:basedOn w:val="1"/>
    <w:link w:val="46"/>
    <w:qFormat/>
    <w:uiPriority w:val="0"/>
    <w:pPr>
      <w:tabs>
        <w:tab w:val="center" w:pos="4153"/>
        <w:tab w:val="right" w:pos="8306"/>
      </w:tabs>
      <w:snapToGrid w:val="0"/>
      <w:jc w:val="left"/>
    </w:pPr>
    <w:rPr>
      <w:rFonts w:eastAsia="宋体"/>
      <w:sz w:val="18"/>
      <w:szCs w:val="18"/>
    </w:rPr>
  </w:style>
  <w:style w:type="paragraph" w:styleId="16">
    <w:name w:val="header"/>
    <w:basedOn w:val="1"/>
    <w:link w:val="59"/>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7">
    <w:name w:val="toc 1"/>
    <w:basedOn w:val="1"/>
    <w:next w:val="1"/>
    <w:qFormat/>
    <w:uiPriority w:val="39"/>
    <w:rPr>
      <w:rFonts w:ascii="Times New Roman" w:hAnsi="Times New Roman" w:eastAsia="宋体" w:cs="Times New Roman"/>
      <w:szCs w:val="24"/>
    </w:rPr>
  </w:style>
  <w:style w:type="paragraph" w:styleId="18">
    <w:name w:val="toc 4"/>
    <w:basedOn w:val="1"/>
    <w:next w:val="1"/>
    <w:unhideWhenUsed/>
    <w:qFormat/>
    <w:uiPriority w:val="0"/>
    <w:pPr>
      <w:ind w:left="1260" w:leftChars="600"/>
    </w:pPr>
  </w:style>
  <w:style w:type="paragraph" w:styleId="19">
    <w:name w:val="Subtitle"/>
    <w:basedOn w:val="1"/>
    <w:next w:val="1"/>
    <w:link w:val="103"/>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0">
    <w:name w:val="toc 6"/>
    <w:basedOn w:val="1"/>
    <w:next w:val="1"/>
    <w:unhideWhenUsed/>
    <w:qFormat/>
    <w:uiPriority w:val="0"/>
    <w:pPr>
      <w:ind w:left="2100" w:leftChars="1000"/>
    </w:pPr>
  </w:style>
  <w:style w:type="paragraph" w:styleId="21">
    <w:name w:val="toc 2"/>
    <w:basedOn w:val="1"/>
    <w:next w:val="1"/>
    <w:qFormat/>
    <w:uiPriority w:val="0"/>
    <w:pPr>
      <w:ind w:left="420" w:leftChars="200"/>
    </w:pPr>
    <w:rPr>
      <w:rFonts w:ascii="Times New Roman" w:hAnsi="Times New Roman" w:eastAsia="宋体" w:cs="Times New Roman"/>
      <w:szCs w:val="24"/>
    </w:rPr>
  </w:style>
  <w:style w:type="paragraph" w:styleId="22">
    <w:name w:val="toc 9"/>
    <w:basedOn w:val="1"/>
    <w:next w:val="1"/>
    <w:unhideWhenUsed/>
    <w:qFormat/>
    <w:uiPriority w:val="0"/>
    <w:pPr>
      <w:ind w:left="3360" w:leftChars="1600"/>
    </w:pPr>
  </w:style>
  <w:style w:type="paragraph" w:styleId="23">
    <w:name w:val="HTML Preformatted"/>
    <w:basedOn w:val="1"/>
    <w:link w:val="6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Wingdings 3" w:hAnsi="Wingdings 3" w:eastAsia="Wingdings 3" w:cs="Times New Roman"/>
      <w:kern w:val="0"/>
      <w:sz w:val="24"/>
      <w:szCs w:val="24"/>
    </w:rPr>
  </w:style>
  <w:style w:type="paragraph" w:styleId="2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5">
    <w:name w:val="Title"/>
    <w:basedOn w:val="1"/>
    <w:next w:val="1"/>
    <w:link w:val="58"/>
    <w:qFormat/>
    <w:uiPriority w:val="0"/>
    <w:pPr>
      <w:spacing w:before="240" w:after="60"/>
      <w:jc w:val="center"/>
      <w:outlineLvl w:val="0"/>
    </w:pPr>
    <w:rPr>
      <w:rFonts w:ascii="Cambria" w:hAnsi="Cambria" w:eastAsia="宋体"/>
      <w:b/>
      <w:bCs/>
      <w:sz w:val="32"/>
      <w:szCs w:val="32"/>
    </w:rPr>
  </w:style>
  <w:style w:type="paragraph" w:styleId="26">
    <w:name w:val="annotation subject"/>
    <w:basedOn w:val="7"/>
    <w:next w:val="7"/>
    <w:link w:val="77"/>
    <w:qFormat/>
    <w:uiPriority w:val="0"/>
    <w:rPr>
      <w:b/>
      <w:bCs/>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character" w:styleId="31">
    <w:name w:val="Emphasis"/>
    <w:basedOn w:val="29"/>
    <w:qFormat/>
    <w:uiPriority w:val="0"/>
    <w:rPr>
      <w:i/>
    </w:rPr>
  </w:style>
  <w:style w:type="character" w:styleId="32">
    <w:name w:val="Hyperlink"/>
    <w:qFormat/>
    <w:uiPriority w:val="99"/>
    <w:rPr>
      <w:color w:val="0063C8"/>
      <w:u w:val="none"/>
    </w:rPr>
  </w:style>
  <w:style w:type="character" w:styleId="33">
    <w:name w:val="annotation reference"/>
    <w:qFormat/>
    <w:uiPriority w:val="0"/>
    <w:rPr>
      <w:sz w:val="21"/>
      <w:szCs w:val="21"/>
    </w:rPr>
  </w:style>
  <w:style w:type="paragraph" w:customStyle="1" w:styleId="34">
    <w:name w:val="样式1"/>
    <w:basedOn w:val="35"/>
    <w:link w:val="121"/>
    <w:qFormat/>
    <w:uiPriority w:val="0"/>
    <w:pPr>
      <w:tabs>
        <w:tab w:val="left" w:pos="993"/>
        <w:tab w:val="left" w:pos="1620"/>
      </w:tabs>
      <w:jc w:val="right"/>
    </w:pPr>
    <w:rPr>
      <w:b w:val="0"/>
      <w:sz w:val="21"/>
    </w:rPr>
  </w:style>
  <w:style w:type="paragraph" w:customStyle="1" w:styleId="35">
    <w:name w:val="章节标题"/>
    <w:basedOn w:val="1"/>
    <w:link w:val="81"/>
    <w:qFormat/>
    <w:uiPriority w:val="0"/>
    <w:pPr>
      <w:tabs>
        <w:tab w:val="left" w:pos="993"/>
        <w:tab w:val="left" w:pos="1620"/>
      </w:tabs>
      <w:snapToGrid w:val="0"/>
      <w:spacing w:line="360" w:lineRule="auto"/>
      <w:ind w:left="284" w:hanging="284" w:hangingChars="101"/>
      <w:jc w:val="left"/>
      <w:outlineLvl w:val="0"/>
    </w:pPr>
    <w:rPr>
      <w:rFonts w:ascii="宋体" w:hAnsi="宋体" w:eastAsia="宋体" w:cs="宋体"/>
      <w:b/>
      <w:color w:val="000000"/>
      <w:sz w:val="28"/>
      <w:szCs w:val="28"/>
    </w:rPr>
  </w:style>
  <w:style w:type="table" w:customStyle="1" w:styleId="36">
    <w:name w:val="中等深浅网格 21"/>
    <w:basedOn w:val="27"/>
    <w:qFormat/>
    <w:uiPriority w:val="0"/>
    <w:rPr>
      <w:rFonts w:ascii="Calibri" w:hAnsi="Calibri"/>
      <w:sz w:val="22"/>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rPr>
      <w:tcPr>
        <w:shd w:val="clear" w:color="auto" w:fill="E5E5E5" w:themeFill="text1" w:themeFillTint="19"/>
      </w:tcPr>
    </w:tblStylePr>
    <w:tblStylePr w:type="lastRow">
      <w:rPr>
        <w:b/>
        <w:bCs/>
        <w:color w:val="000000"/>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rPr>
      <w:tcPr>
        <w:tcBorders>
          <w:top w:val="nil"/>
          <w:left w:val="nil"/>
          <w:bottom w:val="nil"/>
          <w:right w:val="nil"/>
          <w:insideH w:val="nil"/>
          <w:insideV w:val="nil"/>
        </w:tcBorders>
        <w:shd w:val="clear" w:color="auto" w:fill="FFFFFF" w:themeFill="background1"/>
      </w:tcPr>
    </w:tblStylePr>
    <w:tblStylePr w:type="lastCol">
      <w:rPr>
        <w:b w:val="0"/>
        <w:bCs w:val="0"/>
        <w:color w:val="000000"/>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character" w:customStyle="1" w:styleId="37">
    <w:name w:val="标题 1 字符1"/>
    <w:basedOn w:val="29"/>
    <w:link w:val="2"/>
    <w:qFormat/>
    <w:uiPriority w:val="0"/>
    <w:rPr>
      <w:rFonts w:ascii="Times New Roman" w:hAnsi="Times New Roman" w:eastAsia="宋体" w:cs="Times New Roman"/>
      <w:b/>
      <w:bCs/>
      <w:kern w:val="44"/>
      <w:sz w:val="44"/>
      <w:szCs w:val="44"/>
    </w:rPr>
  </w:style>
  <w:style w:type="character" w:customStyle="1" w:styleId="38">
    <w:name w:val="标题 2 字符1"/>
    <w:basedOn w:val="29"/>
    <w:link w:val="3"/>
    <w:qFormat/>
    <w:uiPriority w:val="0"/>
    <w:rPr>
      <w:rFonts w:ascii="宋体" w:hAnsi="宋体" w:eastAsia="宋体" w:cs="宋体"/>
      <w:b/>
      <w:bCs/>
      <w:sz w:val="36"/>
      <w:szCs w:val="36"/>
    </w:rPr>
  </w:style>
  <w:style w:type="character" w:customStyle="1" w:styleId="39">
    <w:name w:val="标题 3 字符"/>
    <w:basedOn w:val="29"/>
    <w:link w:val="4"/>
    <w:qFormat/>
    <w:uiPriority w:val="0"/>
    <w:rPr>
      <w:rFonts w:ascii="Times New Roman" w:hAnsi="Times New Roman" w:eastAsia="宋体" w:cs="Times New Roman"/>
      <w:b/>
      <w:sz w:val="32"/>
      <w:szCs w:val="24"/>
    </w:rPr>
  </w:style>
  <w:style w:type="character" w:customStyle="1" w:styleId="40">
    <w:name w:val="apple-style-span"/>
    <w:basedOn w:val="29"/>
    <w:qFormat/>
    <w:uiPriority w:val="0"/>
  </w:style>
  <w:style w:type="character" w:customStyle="1" w:styleId="41">
    <w:name w:val="font51"/>
    <w:qFormat/>
    <w:uiPriority w:val="0"/>
    <w:rPr>
      <w:rFonts w:hint="eastAsia" w:ascii="宋体" w:hAnsi="宋体" w:eastAsia="宋体" w:cs="宋体"/>
      <w:color w:val="000000"/>
      <w:sz w:val="21"/>
      <w:szCs w:val="21"/>
      <w:u w:val="none"/>
    </w:rPr>
  </w:style>
  <w:style w:type="character" w:customStyle="1" w:styleId="42">
    <w:name w:val="标题1 Char Char"/>
    <w:link w:val="43"/>
    <w:qFormat/>
    <w:uiPriority w:val="0"/>
    <w:rPr>
      <w:rFonts w:eastAsia="宋体"/>
      <w:b/>
      <w:color w:val="000000"/>
      <w:sz w:val="24"/>
      <w:u w:color="000000"/>
    </w:rPr>
  </w:style>
  <w:style w:type="paragraph" w:customStyle="1" w:styleId="43">
    <w:name w:val="标题1"/>
    <w:basedOn w:val="6"/>
    <w:link w:val="42"/>
    <w:qFormat/>
    <w:uiPriority w:val="0"/>
    <w:pPr>
      <w:widowControl/>
      <w:spacing w:line="360" w:lineRule="auto"/>
      <w:ind w:left="200"/>
      <w:jc w:val="center"/>
      <w:textAlignment w:val="baseline"/>
      <w:outlineLvl w:val="0"/>
    </w:pPr>
    <w:rPr>
      <w:rFonts w:asciiTheme="minorHAnsi" w:hAnsiTheme="minorHAnsi" w:cstheme="minorBidi"/>
      <w:b/>
      <w:color w:val="000000"/>
      <w:sz w:val="24"/>
      <w:szCs w:val="22"/>
      <w:u w:color="000000"/>
    </w:rPr>
  </w:style>
  <w:style w:type="character" w:customStyle="1" w:styleId="44">
    <w:name w:val="Char Char6"/>
    <w:qFormat/>
    <w:uiPriority w:val="0"/>
    <w:rPr>
      <w:rFonts w:ascii="Cambria" w:hAnsi="Cambria" w:eastAsia="宋体"/>
      <w:b/>
      <w:bCs/>
      <w:kern w:val="2"/>
      <w:sz w:val="32"/>
      <w:szCs w:val="32"/>
      <w:lang w:bidi="ar-SA"/>
    </w:rPr>
  </w:style>
  <w:style w:type="character" w:customStyle="1" w:styleId="45">
    <w:name w:val="正文文本缩进 字符1"/>
    <w:link w:val="9"/>
    <w:qFormat/>
    <w:uiPriority w:val="0"/>
    <w:rPr>
      <w:rFonts w:eastAsia="宋体"/>
      <w:szCs w:val="24"/>
    </w:rPr>
  </w:style>
  <w:style w:type="character" w:customStyle="1" w:styleId="46">
    <w:name w:val="页脚 字符1"/>
    <w:link w:val="15"/>
    <w:qFormat/>
    <w:uiPriority w:val="0"/>
    <w:rPr>
      <w:rFonts w:eastAsia="宋体"/>
      <w:sz w:val="18"/>
      <w:szCs w:val="18"/>
    </w:rPr>
  </w:style>
  <w:style w:type="character" w:customStyle="1" w:styleId="47">
    <w:name w:val="纯文本 字符1"/>
    <w:link w:val="12"/>
    <w:qFormat/>
    <w:uiPriority w:val="0"/>
    <w:rPr>
      <w:rFonts w:ascii="宋体" w:hAnsi="Courier New" w:eastAsia="宋体"/>
      <w:szCs w:val="21"/>
    </w:rPr>
  </w:style>
  <w:style w:type="character" w:customStyle="1" w:styleId="48">
    <w:name w:val="正文 + 宋体 Char Char"/>
    <w:link w:val="49"/>
    <w:qFormat/>
    <w:uiPriority w:val="0"/>
    <w:rPr>
      <w:rFonts w:ascii="宋体" w:hAnsi="宋体" w:eastAsia="宋体"/>
      <w:szCs w:val="21"/>
    </w:rPr>
  </w:style>
  <w:style w:type="paragraph" w:customStyle="1" w:styleId="49">
    <w:name w:val="正文 + 宋体"/>
    <w:basedOn w:val="1"/>
    <w:link w:val="48"/>
    <w:qFormat/>
    <w:uiPriority w:val="0"/>
    <w:pPr>
      <w:snapToGrid w:val="0"/>
      <w:ind w:firstLine="420" w:firstLineChars="200"/>
    </w:pPr>
    <w:rPr>
      <w:rFonts w:ascii="宋体" w:hAnsi="宋体" w:eastAsia="宋体"/>
      <w:szCs w:val="21"/>
    </w:rPr>
  </w:style>
  <w:style w:type="character" w:customStyle="1" w:styleId="50">
    <w:name w:val="批注框文本 字符1"/>
    <w:link w:val="14"/>
    <w:qFormat/>
    <w:uiPriority w:val="0"/>
    <w:rPr>
      <w:rFonts w:eastAsia="宋体"/>
      <w:sz w:val="18"/>
      <w:szCs w:val="18"/>
    </w:rPr>
  </w:style>
  <w:style w:type="character" w:customStyle="1" w:styleId="51">
    <w:name w:val="font21"/>
    <w:qFormat/>
    <w:uiPriority w:val="0"/>
    <w:rPr>
      <w:rFonts w:hint="eastAsia" w:ascii="宋体" w:hAnsi="宋体" w:eastAsia="宋体" w:cs="宋体"/>
      <w:color w:val="FF0000"/>
      <w:sz w:val="21"/>
      <w:szCs w:val="21"/>
      <w:u w:val="none"/>
    </w:rPr>
  </w:style>
  <w:style w:type="character" w:customStyle="1" w:styleId="52">
    <w:name w:val="font11"/>
    <w:qFormat/>
    <w:uiPriority w:val="0"/>
    <w:rPr>
      <w:rFonts w:hint="eastAsia" w:ascii="宋体" w:hAnsi="宋体" w:eastAsia="宋体" w:cs="宋体"/>
      <w:color w:val="000000"/>
      <w:sz w:val="21"/>
      <w:szCs w:val="21"/>
      <w:u w:val="none"/>
    </w:rPr>
  </w:style>
  <w:style w:type="character" w:customStyle="1" w:styleId="53">
    <w:name w:val="font31"/>
    <w:qFormat/>
    <w:uiPriority w:val="0"/>
    <w:rPr>
      <w:rFonts w:hint="eastAsia" w:ascii="宋体" w:hAnsi="宋体" w:eastAsia="宋体" w:cs="宋体"/>
      <w:color w:val="000000"/>
      <w:sz w:val="21"/>
      <w:szCs w:val="21"/>
      <w:u w:val="none"/>
    </w:rPr>
  </w:style>
  <w:style w:type="character" w:customStyle="1" w:styleId="54">
    <w:name w:val="大纲正文 Char Char"/>
    <w:link w:val="55"/>
    <w:qFormat/>
    <w:uiPriority w:val="0"/>
    <w:rPr>
      <w:rFonts w:eastAsia="宋体"/>
      <w:color w:val="000000"/>
      <w:u w:color="000000"/>
    </w:rPr>
  </w:style>
  <w:style w:type="paragraph" w:customStyle="1" w:styleId="55">
    <w:name w:val="大纲正文"/>
    <w:basedOn w:val="1"/>
    <w:link w:val="54"/>
    <w:qFormat/>
    <w:uiPriority w:val="0"/>
    <w:pPr>
      <w:snapToGrid w:val="0"/>
      <w:ind w:firstLine="200" w:firstLineChars="200"/>
      <w:textAlignment w:val="baseline"/>
    </w:pPr>
    <w:rPr>
      <w:rFonts w:eastAsia="宋体"/>
      <w:color w:val="000000"/>
      <w:u w:color="000000"/>
    </w:rPr>
  </w:style>
  <w:style w:type="character" w:customStyle="1" w:styleId="56">
    <w:name w:val="中等深浅网格 2 Char"/>
    <w:qFormat/>
    <w:uiPriority w:val="0"/>
    <w:rPr>
      <w:rFonts w:ascii="Calibri" w:hAnsi="Calibri"/>
      <w:sz w:val="22"/>
      <w:szCs w:val="22"/>
      <w:lang w:val="en-US" w:eastAsia="zh-CN" w:bidi="ar-SA"/>
    </w:rPr>
  </w:style>
  <w:style w:type="character" w:customStyle="1" w:styleId="57">
    <w:name w:val="批注文字 字符1"/>
    <w:link w:val="7"/>
    <w:qFormat/>
    <w:uiPriority w:val="0"/>
    <w:rPr>
      <w:szCs w:val="24"/>
    </w:rPr>
  </w:style>
  <w:style w:type="character" w:customStyle="1" w:styleId="58">
    <w:name w:val="标题 字符1"/>
    <w:link w:val="25"/>
    <w:qFormat/>
    <w:uiPriority w:val="0"/>
    <w:rPr>
      <w:rFonts w:ascii="Cambria" w:hAnsi="Cambria" w:eastAsia="宋体"/>
      <w:b/>
      <w:bCs/>
      <w:sz w:val="32"/>
      <w:szCs w:val="32"/>
    </w:rPr>
  </w:style>
  <w:style w:type="character" w:customStyle="1" w:styleId="59">
    <w:name w:val="页眉 字符1"/>
    <w:link w:val="16"/>
    <w:qFormat/>
    <w:uiPriority w:val="0"/>
    <w:rPr>
      <w:rFonts w:eastAsia="宋体"/>
      <w:sz w:val="18"/>
      <w:szCs w:val="18"/>
    </w:rPr>
  </w:style>
  <w:style w:type="character" w:customStyle="1" w:styleId="60">
    <w:name w:val="font01"/>
    <w:qFormat/>
    <w:uiPriority w:val="0"/>
    <w:rPr>
      <w:rFonts w:hint="default" w:ascii="Times New Roman" w:hAnsi="Times New Roman" w:cs="Times New Roman"/>
      <w:color w:val="FF0000"/>
      <w:sz w:val="21"/>
      <w:szCs w:val="21"/>
      <w:u w:val="none"/>
    </w:rPr>
  </w:style>
  <w:style w:type="paragraph" w:customStyle="1" w:styleId="61">
    <w:name w:val="Table Paragraph"/>
    <w:basedOn w:val="1"/>
    <w:qFormat/>
    <w:uiPriority w:val="1"/>
    <w:rPr>
      <w:rFonts w:ascii="Times New Roman" w:hAnsi="Times New Roman" w:eastAsia="宋体" w:cs="Times New Roman"/>
      <w:szCs w:val="24"/>
    </w:rPr>
  </w:style>
  <w:style w:type="character" w:customStyle="1" w:styleId="62">
    <w:name w:val="HTML 预设格式 字符"/>
    <w:basedOn w:val="29"/>
    <w:link w:val="23"/>
    <w:qFormat/>
    <w:uiPriority w:val="99"/>
    <w:rPr>
      <w:rFonts w:ascii="Wingdings 3" w:hAnsi="Wingdings 3" w:eastAsia="Wingdings 3" w:cs="Times New Roman"/>
      <w:kern w:val="0"/>
      <w:sz w:val="24"/>
      <w:szCs w:val="24"/>
    </w:rPr>
  </w:style>
  <w:style w:type="character" w:customStyle="1" w:styleId="63">
    <w:name w:val="批注文字 Char1"/>
    <w:basedOn w:val="29"/>
    <w:semiHidden/>
    <w:qFormat/>
    <w:uiPriority w:val="99"/>
  </w:style>
  <w:style w:type="character" w:customStyle="1" w:styleId="64">
    <w:name w:val="正文文本 字符"/>
    <w:basedOn w:val="29"/>
    <w:link w:val="8"/>
    <w:qFormat/>
    <w:uiPriority w:val="1"/>
    <w:rPr>
      <w:rFonts w:ascii="宋体" w:hAnsi="宋体" w:eastAsia="宋体" w:cs="Times New Roman"/>
      <w:sz w:val="28"/>
      <w:szCs w:val="28"/>
    </w:rPr>
  </w:style>
  <w:style w:type="character" w:customStyle="1" w:styleId="65">
    <w:name w:val="纯文本 Char1"/>
    <w:basedOn w:val="29"/>
    <w:semiHidden/>
    <w:qFormat/>
    <w:uiPriority w:val="99"/>
    <w:rPr>
      <w:rFonts w:ascii="宋体" w:hAnsi="Courier New" w:eastAsia="宋体" w:cs="Courier New"/>
      <w:szCs w:val="21"/>
    </w:rPr>
  </w:style>
  <w:style w:type="character" w:customStyle="1" w:styleId="66">
    <w:name w:val="正文文本缩进 Char1"/>
    <w:basedOn w:val="29"/>
    <w:semiHidden/>
    <w:qFormat/>
    <w:uiPriority w:val="99"/>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p0"/>
    <w:basedOn w:val="1"/>
    <w:qFormat/>
    <w:uiPriority w:val="0"/>
    <w:pPr>
      <w:widowControl/>
    </w:pPr>
    <w:rPr>
      <w:rFonts w:ascii="Times New Roman" w:hAnsi="Times New Roman" w:eastAsia="宋体" w:cs="Times New Roman"/>
      <w:kern w:val="0"/>
      <w:szCs w:val="21"/>
    </w:rPr>
  </w:style>
  <w:style w:type="paragraph" w:customStyle="1" w:styleId="69">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70">
    <w:name w:val="页脚 Char1"/>
    <w:basedOn w:val="29"/>
    <w:semiHidden/>
    <w:qFormat/>
    <w:uiPriority w:val="99"/>
    <w:rPr>
      <w:sz w:val="18"/>
      <w:szCs w:val="18"/>
    </w:rPr>
  </w:style>
  <w:style w:type="paragraph" w:customStyle="1" w:styleId="71">
    <w:name w:val="TOC 标题2"/>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72">
    <w:name w:val="页眉 Char1"/>
    <w:basedOn w:val="29"/>
    <w:semiHidden/>
    <w:qFormat/>
    <w:uiPriority w:val="99"/>
    <w:rPr>
      <w:sz w:val="18"/>
      <w:szCs w:val="18"/>
    </w:rPr>
  </w:style>
  <w:style w:type="character" w:customStyle="1" w:styleId="73">
    <w:name w:val="批注框文本 Char1"/>
    <w:basedOn w:val="29"/>
    <w:semiHidden/>
    <w:qFormat/>
    <w:uiPriority w:val="99"/>
    <w:rPr>
      <w:sz w:val="18"/>
      <w:szCs w:val="18"/>
    </w:rPr>
  </w:style>
  <w:style w:type="paragraph" w:customStyle="1" w:styleId="74">
    <w:name w:val="正文 A"/>
    <w:qFormat/>
    <w:uiPriority w:val="0"/>
    <w:pPr>
      <w:framePr w:wrap="around" w:vAnchor="margin" w:hAnchor="text" w:y="1"/>
      <w:widowControl w:val="0"/>
      <w:jc w:val="both"/>
    </w:pPr>
    <w:rPr>
      <w:rFonts w:hint="eastAsia" w:ascii="Arial Black" w:hAnsi="Arial Black" w:eastAsia="Arial Black" w:cs="Arial Black"/>
      <w:color w:val="000000"/>
      <w:kern w:val="2"/>
      <w:sz w:val="21"/>
      <w:szCs w:val="21"/>
      <w:lang w:val="en-US" w:eastAsia="zh-CN" w:bidi="ar-SA"/>
    </w:rPr>
  </w:style>
  <w:style w:type="paragraph" w:customStyle="1" w:styleId="75">
    <w:name w:val="列出段落1"/>
    <w:basedOn w:val="1"/>
    <w:qFormat/>
    <w:uiPriority w:val="34"/>
    <w:pPr>
      <w:ind w:firstLine="420" w:firstLineChars="200"/>
    </w:pPr>
    <w:rPr>
      <w:rFonts w:ascii="Times New Roman" w:hAnsi="Times New Roman" w:eastAsia="宋体" w:cs="Times New Roman"/>
      <w:szCs w:val="24"/>
    </w:rPr>
  </w:style>
  <w:style w:type="character" w:customStyle="1" w:styleId="76">
    <w:name w:val="标题 Char1"/>
    <w:basedOn w:val="29"/>
    <w:qFormat/>
    <w:uiPriority w:val="10"/>
    <w:rPr>
      <w:rFonts w:eastAsia="宋体" w:asciiTheme="majorHAnsi" w:hAnsiTheme="majorHAnsi" w:cstheme="majorBidi"/>
      <w:b/>
      <w:bCs/>
      <w:sz w:val="32"/>
      <w:szCs w:val="32"/>
    </w:rPr>
  </w:style>
  <w:style w:type="character" w:customStyle="1" w:styleId="77">
    <w:name w:val="批注主题 字符"/>
    <w:basedOn w:val="63"/>
    <w:link w:val="26"/>
    <w:qFormat/>
    <w:uiPriority w:val="0"/>
    <w:rPr>
      <w:b/>
      <w:bCs/>
      <w:szCs w:val="24"/>
    </w:rPr>
  </w:style>
  <w:style w:type="paragraph" w:customStyle="1" w:styleId="78">
    <w:name w:val="人才培养方案名称"/>
    <w:basedOn w:val="25"/>
    <w:link w:val="79"/>
    <w:qFormat/>
    <w:uiPriority w:val="0"/>
    <w:pPr>
      <w:spacing w:line="360" w:lineRule="auto"/>
    </w:pPr>
  </w:style>
  <w:style w:type="character" w:customStyle="1" w:styleId="79">
    <w:name w:val="人才培养方案名称 Char"/>
    <w:basedOn w:val="58"/>
    <w:link w:val="78"/>
    <w:qFormat/>
    <w:uiPriority w:val="0"/>
    <w:rPr>
      <w:rFonts w:ascii="Cambria" w:hAnsi="Cambria" w:eastAsia="宋体"/>
      <w:sz w:val="32"/>
      <w:szCs w:val="32"/>
    </w:rPr>
  </w:style>
  <w:style w:type="paragraph" w:customStyle="1" w:styleId="80">
    <w:name w:val="一级标题"/>
    <w:basedOn w:val="1"/>
    <w:link w:val="83"/>
    <w:qFormat/>
    <w:uiPriority w:val="0"/>
    <w:pPr>
      <w:snapToGrid w:val="0"/>
      <w:spacing w:line="360" w:lineRule="auto"/>
      <w:jc w:val="left"/>
      <w:outlineLvl w:val="0"/>
    </w:pPr>
    <w:rPr>
      <w:rFonts w:ascii="宋体" w:hAnsi="宋体" w:eastAsia="宋体"/>
      <w:b/>
      <w:sz w:val="24"/>
    </w:rPr>
  </w:style>
  <w:style w:type="character" w:customStyle="1" w:styleId="81">
    <w:name w:val="章节标题 Char"/>
    <w:basedOn w:val="29"/>
    <w:link w:val="35"/>
    <w:qFormat/>
    <w:uiPriority w:val="0"/>
    <w:rPr>
      <w:rFonts w:ascii="宋体" w:hAnsi="宋体" w:eastAsia="宋体" w:cs="宋体"/>
      <w:b/>
      <w:color w:val="000000"/>
      <w:sz w:val="28"/>
      <w:szCs w:val="28"/>
    </w:rPr>
  </w:style>
  <w:style w:type="paragraph" w:customStyle="1" w:styleId="82">
    <w:name w:val="二级标题"/>
    <w:basedOn w:val="1"/>
    <w:link w:val="85"/>
    <w:qFormat/>
    <w:uiPriority w:val="0"/>
    <w:pPr>
      <w:snapToGrid w:val="0"/>
      <w:spacing w:line="360" w:lineRule="auto"/>
      <w:outlineLvl w:val="1"/>
    </w:pPr>
    <w:rPr>
      <w:rFonts w:ascii="宋体" w:hAnsi="宋体" w:eastAsia="宋体"/>
      <w:b/>
      <w:szCs w:val="21"/>
    </w:rPr>
  </w:style>
  <w:style w:type="character" w:customStyle="1" w:styleId="83">
    <w:name w:val="一级标题 Char"/>
    <w:basedOn w:val="29"/>
    <w:link w:val="80"/>
    <w:qFormat/>
    <w:uiPriority w:val="0"/>
    <w:rPr>
      <w:rFonts w:ascii="宋体" w:hAnsi="宋体" w:eastAsia="宋体"/>
      <w:b/>
      <w:sz w:val="24"/>
    </w:rPr>
  </w:style>
  <w:style w:type="paragraph" w:customStyle="1" w:styleId="84">
    <w:name w:val="一级表格标题"/>
    <w:basedOn w:val="80"/>
    <w:link w:val="88"/>
    <w:qFormat/>
    <w:uiPriority w:val="0"/>
    <w:pPr>
      <w:jc w:val="center"/>
      <w:outlineLvl w:val="9"/>
    </w:pPr>
  </w:style>
  <w:style w:type="character" w:customStyle="1" w:styleId="85">
    <w:name w:val="二级标题 Char"/>
    <w:basedOn w:val="29"/>
    <w:link w:val="82"/>
    <w:qFormat/>
    <w:uiPriority w:val="0"/>
    <w:rPr>
      <w:rFonts w:ascii="宋体" w:hAnsi="宋体" w:eastAsia="宋体"/>
      <w:b/>
      <w:szCs w:val="21"/>
    </w:rPr>
  </w:style>
  <w:style w:type="character" w:customStyle="1" w:styleId="86">
    <w:name w:val="无间隔 字符1"/>
    <w:link w:val="87"/>
    <w:qFormat/>
    <w:uiPriority w:val="0"/>
    <w:rPr>
      <w:rFonts w:ascii="Calibri" w:hAnsi="Calibri"/>
      <w:sz w:val="22"/>
    </w:rPr>
  </w:style>
  <w:style w:type="paragraph" w:styleId="87">
    <w:name w:val="No Spacing"/>
    <w:link w:val="86"/>
    <w:qFormat/>
    <w:uiPriority w:val="0"/>
    <w:rPr>
      <w:rFonts w:ascii="Calibri" w:hAnsi="Calibri" w:eastAsiaTheme="minorEastAsia" w:cstheme="minorBidi"/>
      <w:kern w:val="2"/>
      <w:sz w:val="22"/>
      <w:szCs w:val="22"/>
      <w:lang w:val="en-US" w:eastAsia="zh-CN" w:bidi="ar-SA"/>
    </w:rPr>
  </w:style>
  <w:style w:type="character" w:customStyle="1" w:styleId="88">
    <w:name w:val="一级表格标题 Char"/>
    <w:basedOn w:val="83"/>
    <w:link w:val="84"/>
    <w:qFormat/>
    <w:uiPriority w:val="0"/>
    <w:rPr>
      <w:rFonts w:ascii="宋体" w:hAnsi="宋体" w:eastAsia="宋体"/>
      <w:sz w:val="24"/>
    </w:rPr>
  </w:style>
  <w:style w:type="paragraph" w:styleId="89">
    <w:name w:val="List Paragraph"/>
    <w:basedOn w:val="1"/>
    <w:qFormat/>
    <w:uiPriority w:val="34"/>
    <w:pPr>
      <w:ind w:firstLine="420" w:firstLineChars="200"/>
    </w:pPr>
    <w:rPr>
      <w:rFonts w:ascii="Times New Roman" w:hAnsi="Times New Roman" w:eastAsia="宋体" w:cs="Times New Roman"/>
      <w:szCs w:val="24"/>
    </w:rPr>
  </w:style>
  <w:style w:type="paragraph" w:customStyle="1" w:styleId="90">
    <w:name w:val="二级表格标题"/>
    <w:basedOn w:val="82"/>
    <w:link w:val="91"/>
    <w:qFormat/>
    <w:uiPriority w:val="0"/>
    <w:pPr>
      <w:jc w:val="center"/>
    </w:pPr>
  </w:style>
  <w:style w:type="character" w:customStyle="1" w:styleId="91">
    <w:name w:val="二级表格标题 Char"/>
    <w:basedOn w:val="85"/>
    <w:link w:val="90"/>
    <w:qFormat/>
    <w:uiPriority w:val="0"/>
    <w:rPr>
      <w:rFonts w:ascii="宋体" w:hAnsi="宋体" w:eastAsia="宋体"/>
      <w:szCs w:val="21"/>
    </w:rPr>
  </w:style>
  <w:style w:type="paragraph" w:customStyle="1" w:styleId="92">
    <w:name w:val="TOC 标题3"/>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93">
    <w:name w:val="目录123"/>
    <w:basedOn w:val="2"/>
    <w:qFormat/>
    <w:uiPriority w:val="0"/>
    <w:pPr>
      <w:spacing w:line="360" w:lineRule="auto"/>
      <w:jc w:val="center"/>
    </w:pPr>
    <w:rPr>
      <w:rFonts w:ascii="宋体" w:hAnsi="宋体" w:eastAsia="黑体"/>
    </w:rPr>
  </w:style>
  <w:style w:type="paragraph" w:customStyle="1" w:styleId="94">
    <w:name w:val="TOC 标题31"/>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95">
    <w:name w:val="标题 #11"/>
    <w:basedOn w:val="96"/>
    <w:unhideWhenUsed/>
    <w:qFormat/>
    <w:uiPriority w:val="99"/>
    <w:rPr>
      <w:rFonts w:ascii="宋体" w:hAnsi="宋体" w:eastAsia="宋体"/>
      <w:spacing w:val="-10"/>
      <w:sz w:val="30"/>
      <w:shd w:val="clear" w:color="auto" w:fill="FFFFFF"/>
    </w:rPr>
  </w:style>
  <w:style w:type="character" w:customStyle="1" w:styleId="96">
    <w:name w:val="标题 #1_"/>
    <w:basedOn w:val="29"/>
    <w:link w:val="97"/>
    <w:unhideWhenUsed/>
    <w:qFormat/>
    <w:uiPriority w:val="99"/>
    <w:rPr>
      <w:rFonts w:ascii="宋体" w:hAnsi="宋体" w:eastAsia="宋体"/>
      <w:spacing w:val="-10"/>
      <w:sz w:val="30"/>
      <w:shd w:val="clear" w:color="auto" w:fill="FFFFFF"/>
    </w:rPr>
  </w:style>
  <w:style w:type="paragraph" w:customStyle="1" w:styleId="97">
    <w:name w:val="标题 #1"/>
    <w:basedOn w:val="1"/>
    <w:link w:val="96"/>
    <w:unhideWhenUsed/>
    <w:qFormat/>
    <w:uiPriority w:val="99"/>
    <w:pPr>
      <w:shd w:val="clear" w:color="auto" w:fill="FFFFFF"/>
      <w:spacing w:after="1320" w:line="240" w:lineRule="atLeast"/>
      <w:outlineLvl w:val="0"/>
    </w:pPr>
    <w:rPr>
      <w:rFonts w:hint="eastAsia" w:ascii="宋体" w:hAnsi="宋体" w:eastAsia="宋体"/>
      <w:spacing w:val="-10"/>
      <w:sz w:val="30"/>
    </w:rPr>
  </w:style>
  <w:style w:type="paragraph" w:customStyle="1" w:styleId="98">
    <w:name w:val="TOC 标题4"/>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99">
    <w:name w:val="_Style 4"/>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00">
    <w:name w:val="TOC 标题5"/>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01">
    <w:name w:val="样式 目录1 + 居中 首行缩进:  0 字符"/>
    <w:basedOn w:val="102"/>
    <w:qFormat/>
    <w:uiPriority w:val="0"/>
    <w:pPr>
      <w:numPr>
        <w:numId w:val="0"/>
      </w:numPr>
      <w:jc w:val="center"/>
    </w:pPr>
    <w:rPr>
      <w:rFonts w:ascii="Calibri" w:hAnsi="Calibri" w:cs="宋体"/>
      <w:bCs/>
      <w:sz w:val="28"/>
      <w:szCs w:val="20"/>
    </w:rPr>
  </w:style>
  <w:style w:type="paragraph" w:customStyle="1" w:styleId="102">
    <w:name w:val="目录1"/>
    <w:basedOn w:val="1"/>
    <w:next w:val="2"/>
    <w:qFormat/>
    <w:uiPriority w:val="0"/>
    <w:pPr>
      <w:numPr>
        <w:ilvl w:val="0"/>
        <w:numId w:val="1"/>
      </w:numPr>
      <w:snapToGrid w:val="0"/>
      <w:spacing w:line="360" w:lineRule="auto"/>
      <w:ind w:firstLine="482" w:firstLineChars="200"/>
    </w:pPr>
    <w:rPr>
      <w:rFonts w:ascii="宋体" w:hAnsi="宋体" w:eastAsia="宋体" w:cs="Times New Roman"/>
      <w:b/>
      <w:sz w:val="24"/>
      <w:szCs w:val="24"/>
    </w:rPr>
  </w:style>
  <w:style w:type="character" w:customStyle="1" w:styleId="103">
    <w:name w:val="副标题 字符"/>
    <w:basedOn w:val="29"/>
    <w:link w:val="19"/>
    <w:qFormat/>
    <w:uiPriority w:val="11"/>
    <w:rPr>
      <w:rFonts w:eastAsia="宋体" w:asciiTheme="majorHAnsi" w:hAnsiTheme="majorHAnsi" w:cstheme="majorBidi"/>
      <w:b/>
      <w:bCs/>
      <w:kern w:val="28"/>
      <w:sz w:val="32"/>
      <w:szCs w:val="32"/>
    </w:rPr>
  </w:style>
  <w:style w:type="character" w:customStyle="1" w:styleId="104">
    <w:name w:val="Char Char61"/>
    <w:qFormat/>
    <w:uiPriority w:val="0"/>
    <w:rPr>
      <w:rFonts w:ascii="Cambria" w:hAnsi="Cambria" w:eastAsia="宋体"/>
      <w:b/>
      <w:bCs/>
      <w:kern w:val="2"/>
      <w:sz w:val="32"/>
      <w:szCs w:val="32"/>
      <w:lang w:bidi="ar-SA"/>
    </w:rPr>
  </w:style>
  <w:style w:type="paragraph" w:customStyle="1" w:styleId="105">
    <w:name w:val="TOC 标题6"/>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06">
    <w:name w:val="列出段落2"/>
    <w:basedOn w:val="1"/>
    <w:qFormat/>
    <w:uiPriority w:val="34"/>
    <w:pPr>
      <w:ind w:firstLine="420" w:firstLineChars="200"/>
    </w:pPr>
    <w:rPr>
      <w:rFonts w:ascii="Times New Roman" w:hAnsi="Times New Roman" w:eastAsia="宋体" w:cs="Times New Roman"/>
      <w:szCs w:val="24"/>
    </w:rPr>
  </w:style>
  <w:style w:type="character" w:customStyle="1" w:styleId="107">
    <w:name w:val="Char Char62"/>
    <w:qFormat/>
    <w:uiPriority w:val="0"/>
    <w:rPr>
      <w:rFonts w:ascii="Cambria" w:hAnsi="Cambria" w:eastAsia="宋体"/>
      <w:b/>
      <w:bCs/>
      <w:kern w:val="2"/>
      <w:sz w:val="32"/>
      <w:szCs w:val="32"/>
      <w:lang w:bidi="ar-SA"/>
    </w:rPr>
  </w:style>
  <w:style w:type="paragraph" w:customStyle="1" w:styleId="108">
    <w:name w:val="列出段落3"/>
    <w:basedOn w:val="1"/>
    <w:qFormat/>
    <w:uiPriority w:val="34"/>
    <w:pPr>
      <w:ind w:firstLine="420" w:firstLineChars="200"/>
    </w:pPr>
    <w:rPr>
      <w:rFonts w:ascii="Times New Roman" w:hAnsi="Times New Roman" w:eastAsia="宋体" w:cs="Times New Roman"/>
      <w:szCs w:val="24"/>
    </w:rPr>
  </w:style>
  <w:style w:type="paragraph" w:customStyle="1" w:styleId="109">
    <w:name w:val="TOC 标题7"/>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110">
    <w:name w:val="正文文本缩进 字符"/>
    <w:qFormat/>
    <w:uiPriority w:val="0"/>
    <w:rPr>
      <w:rFonts w:eastAsia="宋体"/>
      <w:kern w:val="2"/>
      <w:sz w:val="21"/>
      <w:szCs w:val="24"/>
      <w:lang w:bidi="ar-SA"/>
    </w:rPr>
  </w:style>
  <w:style w:type="character" w:customStyle="1" w:styleId="111">
    <w:name w:val="页眉 字符"/>
    <w:qFormat/>
    <w:uiPriority w:val="0"/>
    <w:rPr>
      <w:rFonts w:eastAsia="宋体"/>
      <w:kern w:val="2"/>
      <w:sz w:val="18"/>
      <w:szCs w:val="18"/>
      <w:lang w:bidi="ar-SA"/>
    </w:rPr>
  </w:style>
  <w:style w:type="character" w:customStyle="1" w:styleId="112">
    <w:name w:val="页脚 字符"/>
    <w:qFormat/>
    <w:uiPriority w:val="99"/>
    <w:rPr>
      <w:rFonts w:eastAsia="宋体"/>
      <w:kern w:val="2"/>
      <w:sz w:val="18"/>
      <w:szCs w:val="18"/>
      <w:lang w:bidi="ar-SA"/>
    </w:rPr>
  </w:style>
  <w:style w:type="character" w:customStyle="1" w:styleId="113">
    <w:name w:val="无间隔 字符"/>
    <w:qFormat/>
    <w:uiPriority w:val="0"/>
    <w:rPr>
      <w:rFonts w:ascii="Calibri" w:hAnsi="Calibri"/>
      <w:sz w:val="22"/>
      <w:szCs w:val="22"/>
      <w:lang w:val="en-US" w:eastAsia="zh-CN" w:bidi="ar-SA"/>
    </w:rPr>
  </w:style>
  <w:style w:type="character" w:customStyle="1" w:styleId="114">
    <w:name w:val="批注框文本 字符"/>
    <w:qFormat/>
    <w:uiPriority w:val="0"/>
    <w:rPr>
      <w:rFonts w:eastAsia="宋体"/>
      <w:kern w:val="2"/>
      <w:sz w:val="18"/>
      <w:szCs w:val="18"/>
      <w:lang w:val="en-US" w:eastAsia="zh-CN" w:bidi="ar-SA"/>
    </w:rPr>
  </w:style>
  <w:style w:type="character" w:customStyle="1" w:styleId="115">
    <w:name w:val="标题 2 字符"/>
    <w:qFormat/>
    <w:uiPriority w:val="0"/>
    <w:rPr>
      <w:rFonts w:ascii="宋体" w:hAnsi="宋体" w:eastAsia="宋体" w:cs="宋体"/>
      <w:b/>
      <w:bCs/>
      <w:sz w:val="36"/>
      <w:szCs w:val="36"/>
      <w:lang w:val="en-US" w:eastAsia="zh-CN" w:bidi="ar-SA"/>
    </w:rPr>
  </w:style>
  <w:style w:type="character" w:customStyle="1" w:styleId="116">
    <w:name w:val="标题 1 字符"/>
    <w:qFormat/>
    <w:uiPriority w:val="0"/>
    <w:rPr>
      <w:rFonts w:eastAsia="宋体"/>
      <w:b/>
      <w:bCs/>
      <w:kern w:val="44"/>
      <w:sz w:val="44"/>
      <w:szCs w:val="44"/>
      <w:lang w:bidi="ar-SA"/>
    </w:rPr>
  </w:style>
  <w:style w:type="character" w:customStyle="1" w:styleId="117">
    <w:name w:val="批注文字 字符"/>
    <w:qFormat/>
    <w:uiPriority w:val="0"/>
    <w:rPr>
      <w:kern w:val="2"/>
      <w:sz w:val="21"/>
      <w:szCs w:val="24"/>
    </w:rPr>
  </w:style>
  <w:style w:type="character" w:customStyle="1" w:styleId="118">
    <w:name w:val="标题 字符"/>
    <w:qFormat/>
    <w:uiPriority w:val="0"/>
    <w:rPr>
      <w:rFonts w:ascii="Cambria" w:hAnsi="Cambria" w:eastAsia="宋体"/>
      <w:b/>
      <w:bCs/>
      <w:kern w:val="2"/>
      <w:sz w:val="32"/>
      <w:szCs w:val="32"/>
      <w:lang w:bidi="ar-SA"/>
    </w:rPr>
  </w:style>
  <w:style w:type="character" w:customStyle="1" w:styleId="119">
    <w:name w:val="纯文本 字符"/>
    <w:qFormat/>
    <w:uiPriority w:val="0"/>
    <w:rPr>
      <w:rFonts w:ascii="宋体" w:hAnsi="Courier New" w:eastAsia="宋体"/>
      <w:kern w:val="2"/>
      <w:sz w:val="21"/>
      <w:szCs w:val="21"/>
      <w:lang w:bidi="ar-SA"/>
    </w:rPr>
  </w:style>
  <w:style w:type="paragraph" w:customStyle="1" w:styleId="120">
    <w:name w:val="TOC 标题8"/>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121">
    <w:name w:val="样式1 字符"/>
    <w:basedOn w:val="81"/>
    <w:link w:val="34"/>
    <w:qFormat/>
    <w:uiPriority w:val="0"/>
    <w:rPr>
      <w:rFonts w:ascii="宋体" w:hAnsi="宋体" w:eastAsia="宋体" w:cs="宋体"/>
      <w:b w:val="0"/>
      <w:color w:val="000000"/>
      <w:sz w:val="28"/>
      <w:szCs w:val="28"/>
    </w:rPr>
  </w:style>
  <w:style w:type="character" w:customStyle="1" w:styleId="122">
    <w:name w:val="无间隔 Char1"/>
    <w:qFormat/>
    <w:uiPriority w:val="0"/>
    <w:rPr>
      <w:rFonts w:ascii="Calibri" w:hAnsi="Calibri"/>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D8722A-06A1-4A04-BDA5-0AE86F7D575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14683</Words>
  <Characters>15988</Characters>
  <Lines>143</Lines>
  <Paragraphs>40</Paragraphs>
  <TotalTime>8</TotalTime>
  <ScaleCrop>false</ScaleCrop>
  <LinksUpToDate>false</LinksUpToDate>
  <CharactersWithSpaces>16263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2022-11-04T16:04:00Z</dcterms:created>
  <dc:creator>pc</dc:creator>
  <cp:lastModifiedBy>知一</cp:lastModifiedBy>
  <cp:lastPrinted>2022-04-27T08:54:00Z</cp:lastPrinted>
  <dcterms:modified xsi:type="dcterms:W3CDTF">2024-04-22T12:39:29Z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4DE499159BE34B949CEAFA73A01D91EC_13</vt:lpwstr>
  </property>
</Properties>
</file>