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color w:val="000000" w:themeColor="text1"/>
          <w:kern w:val="0"/>
          <w:sz w:val="36"/>
          <w:szCs w:val="36"/>
          <w14:textFill>
            <w14:solidFill>
              <w14:schemeClr w14:val="tx1"/>
            </w14:solidFill>
          </w14:textFill>
        </w:rPr>
      </w:pPr>
    </w:p>
    <w:p>
      <w:pPr>
        <w:widowControl/>
        <w:jc w:val="center"/>
        <w:rPr>
          <w:rFonts w:hint="eastAsia" w:ascii="宋体" w:hAnsi="宋体" w:cs="宋体"/>
          <w:color w:val="000000" w:themeColor="text1"/>
          <w:kern w:val="0"/>
          <w:sz w:val="36"/>
          <w:szCs w:val="36"/>
          <w14:textFill>
            <w14:solidFill>
              <w14:schemeClr w14:val="tx1"/>
            </w14:solidFill>
          </w14:textFill>
        </w:rPr>
      </w:pPr>
    </w:p>
    <w:p>
      <w:pPr>
        <w:widowControl/>
        <w:jc w:val="center"/>
        <w:rPr>
          <w:rFonts w:hint="eastAsia" w:ascii="方正小标宋简体" w:hAnsi="方正小标宋简体" w:eastAsia="方正小标宋简体" w:cs="方正小标宋简体"/>
          <w:color w:val="000000" w:themeColor="text1"/>
          <w:kern w:val="0"/>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52"/>
          <w:szCs w:val="52"/>
          <w:lang w:val="en-US" w:eastAsia="zh-CN"/>
          <w14:textFill>
            <w14:solidFill>
              <w14:schemeClr w14:val="tx1"/>
            </w14:solidFill>
          </w14:textFill>
        </w:rPr>
        <w:t xml:space="preserve">   </w:t>
      </w:r>
    </w:p>
    <w:p>
      <w:pPr>
        <w:widowControl/>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鄂尔多斯生态环境职业学院</w:t>
      </w:r>
    </w:p>
    <w:p>
      <w:pPr>
        <w:widowControl/>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三年制高职人才培养方案</w:t>
      </w: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tbl>
      <w:tblPr>
        <w:tblStyle w:val="28"/>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专业</w:t>
            </w:r>
          </w:p>
        </w:tc>
        <w:tc>
          <w:tcPr>
            <w:tcW w:w="5457" w:type="dxa"/>
          </w:tcPr>
          <w:p>
            <w:pPr>
              <w:widowControl/>
              <w:jc w:val="left"/>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市政工程技术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制订人</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张圆圆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审核人</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闫美凤、闫冬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制定日期</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2022.11</w:t>
            </w:r>
          </w:p>
        </w:tc>
      </w:tr>
    </w:tbl>
    <w:p>
      <w:pPr>
        <w:widowControl/>
        <w:jc w:val="left"/>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cente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鄂尔多斯生态环境职业学院教务处制</w:t>
      </w:r>
    </w:p>
    <w:p>
      <w:pPr>
        <w:widowControl/>
        <w:jc w:val="center"/>
        <w:rPr>
          <w:rFonts w:hint="default" w:ascii="黑体" w:hAnsi="黑体" w:eastAsia="黑体" w:cs="黑体"/>
          <w:color w:val="000000" w:themeColor="text1"/>
          <w:kern w:val="0"/>
          <w:sz w:val="32"/>
          <w:szCs w:val="32"/>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start="1"/>
          <w:cols w:space="720" w:num="1"/>
          <w:docGrid w:type="lines" w:linePitch="312" w:charSpace="0"/>
        </w:sectPr>
      </w:pPr>
      <w:r>
        <w:rPr>
          <w:rFonts w:hint="eastAsia" w:ascii="黑体" w:hAnsi="黑体" w:eastAsia="黑体" w:cs="黑体"/>
          <w:color w:val="000000" w:themeColor="text1"/>
          <w:kern w:val="0"/>
          <w:sz w:val="32"/>
          <w:szCs w:val="32"/>
          <w:lang w:val="en-US" w:eastAsia="zh-CN"/>
          <w14:textFill>
            <w14:solidFill>
              <w14:schemeClr w14:val="tx1"/>
            </w14:solidFill>
          </w14:textFill>
        </w:rPr>
        <w:t>二○二二年十月</w:t>
      </w:r>
    </w:p>
    <w:sdt>
      <w:sdtP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id w:val="147469859"/>
        <w15:color w:val="DBDBDB"/>
        <w:docPartObj>
          <w:docPartGallery w:val="Table of Contents"/>
          <w:docPartUnique/>
        </w:docPartObj>
      </w:sdtPr>
      <w:sdtEndPr>
        <w:rPr>
          <w:rFonts w:hint="eastAsia" w:ascii="Segoe UI Variable Text" w:hAnsi="Segoe UI Variable Text" w:eastAsia="Segoe UI Variable Text" w:cs="Segoe UI Variable Text"/>
          <w:color w:val="000000" w:themeColor="text1"/>
          <w:kern w:val="2"/>
          <w:sz w:val="21"/>
          <w:szCs w:val="22"/>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000000" w:themeColor="text1"/>
              <w:sz w:val="44"/>
              <w:szCs w:val="44"/>
              <w:lang w:val="en-US"/>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目录</w:t>
          </w:r>
        </w:p>
        <w:p>
          <w:pPr>
            <w:pStyle w:val="17"/>
            <w:tabs>
              <w:tab w:val="right" w:leader="dot" w:pos="8845"/>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_Toc30087 </w:instrText>
          </w:r>
          <w:r>
            <w:fldChar w:fldCharType="separate"/>
          </w:r>
          <w:r>
            <w:rPr>
              <w:rFonts w:hint="eastAsia" w:ascii="黑体" w:hAnsi="黑体" w:eastAsia="黑体" w:cs="黑体"/>
              <w:bCs/>
              <w:szCs w:val="28"/>
              <w:lang w:val="en-US" w:eastAsia="zh-CN"/>
            </w:rPr>
            <w:t>一、</w:t>
          </w:r>
          <w:r>
            <w:rPr>
              <w:rFonts w:hint="eastAsia" w:ascii="黑体" w:hAnsi="黑体" w:eastAsia="黑体" w:cs="黑体"/>
              <w:bCs/>
              <w:szCs w:val="28"/>
            </w:rPr>
            <w:t>专业名称</w:t>
          </w:r>
          <w:r>
            <w:rPr>
              <w:rFonts w:hint="eastAsia" w:ascii="黑体" w:hAnsi="黑体" w:eastAsia="黑体" w:cs="黑体"/>
              <w:bCs/>
              <w:szCs w:val="28"/>
              <w:lang w:eastAsia="zh-CN"/>
            </w:rPr>
            <w:t>（</w:t>
          </w:r>
          <w:r>
            <w:rPr>
              <w:rFonts w:hint="eastAsia" w:ascii="黑体" w:hAnsi="黑体" w:eastAsia="黑体" w:cs="黑体"/>
              <w:bCs/>
              <w:szCs w:val="28"/>
              <w:lang w:val="en-US" w:eastAsia="zh-CN"/>
            </w:rPr>
            <w:t>专业代码</w:t>
          </w:r>
          <w:r>
            <w:rPr>
              <w:rFonts w:hint="eastAsia" w:ascii="黑体" w:hAnsi="黑体" w:eastAsia="黑体" w:cs="黑体"/>
              <w:bCs/>
              <w:szCs w:val="28"/>
              <w:lang w:eastAsia="zh-CN"/>
            </w:rPr>
            <w:t>）</w:t>
          </w:r>
          <w:r>
            <w:tab/>
          </w:r>
          <w:r>
            <w:fldChar w:fldCharType="begin"/>
          </w:r>
          <w:r>
            <w:instrText xml:space="preserve"> PAGEREF _Toc30087 \h </w:instrText>
          </w:r>
          <w:r>
            <w:fldChar w:fldCharType="separate"/>
          </w:r>
          <w:r>
            <w:t>3</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_Toc10415 </w:instrText>
          </w:r>
          <w:r>
            <w:fldChar w:fldCharType="separate"/>
          </w:r>
          <w:r>
            <w:rPr>
              <w:rFonts w:hint="eastAsia" w:ascii="黑体" w:hAnsi="黑体" w:eastAsia="黑体" w:cs="黑体"/>
              <w:bCs/>
              <w:szCs w:val="28"/>
              <w:lang w:val="en-US" w:eastAsia="zh-CN"/>
            </w:rPr>
            <w:t>二、入学要求</w:t>
          </w:r>
          <w:r>
            <w:tab/>
          </w:r>
          <w:r>
            <w:fldChar w:fldCharType="begin"/>
          </w:r>
          <w:r>
            <w:instrText xml:space="preserve"> PAGEREF _Toc10415 \h </w:instrText>
          </w:r>
          <w:r>
            <w:fldChar w:fldCharType="separate"/>
          </w:r>
          <w:r>
            <w:t>3</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_Toc20397 </w:instrText>
          </w:r>
          <w:r>
            <w:fldChar w:fldCharType="separate"/>
          </w:r>
          <w:r>
            <w:rPr>
              <w:rFonts w:hint="eastAsia" w:ascii="黑体" w:hAnsi="黑体" w:eastAsia="黑体" w:cs="黑体"/>
              <w:bCs/>
              <w:szCs w:val="28"/>
              <w:lang w:val="en-US" w:eastAsia="zh-CN"/>
            </w:rPr>
            <w:t>三、修业年限及学历</w:t>
          </w:r>
          <w:r>
            <w:tab/>
          </w:r>
          <w:r>
            <w:fldChar w:fldCharType="begin"/>
          </w:r>
          <w:r>
            <w:instrText xml:space="preserve"> PAGEREF _Toc20397 \h </w:instrText>
          </w:r>
          <w:r>
            <w:fldChar w:fldCharType="separate"/>
          </w:r>
          <w:r>
            <w:t>3</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_Toc27009 </w:instrText>
          </w:r>
          <w:r>
            <w:fldChar w:fldCharType="separate"/>
          </w:r>
          <w:r>
            <w:rPr>
              <w:rFonts w:hint="eastAsia" w:ascii="黑体" w:hAnsi="黑体" w:eastAsia="黑体" w:cs="黑体"/>
              <w:bCs/>
              <w:szCs w:val="28"/>
              <w:lang w:val="en-US" w:eastAsia="zh-CN"/>
            </w:rPr>
            <w:t>四、职业面向</w:t>
          </w:r>
          <w:r>
            <w:tab/>
          </w:r>
          <w:r>
            <w:fldChar w:fldCharType="begin"/>
          </w:r>
          <w:r>
            <w:instrText xml:space="preserve"> PAGEREF _Toc27009 \h </w:instrText>
          </w:r>
          <w:r>
            <w:fldChar w:fldCharType="separate"/>
          </w:r>
          <w:r>
            <w:t>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_Toc16142 </w:instrText>
          </w:r>
          <w:r>
            <w:fldChar w:fldCharType="separate"/>
          </w:r>
          <w:r>
            <w:rPr>
              <w:rFonts w:hint="eastAsia" w:ascii="楷体_GB2312" w:hAnsi="楷体_GB2312" w:eastAsia="楷体_GB2312" w:cs="楷体_GB2312"/>
              <w:szCs w:val="28"/>
              <w:lang w:eastAsia="zh-CN"/>
            </w:rPr>
            <w:t>（</w:t>
          </w:r>
          <w:r>
            <w:rPr>
              <w:rFonts w:hint="eastAsia" w:ascii="楷体_GB2312" w:hAnsi="楷体_GB2312" w:eastAsia="楷体_GB2312" w:cs="楷体_GB2312"/>
              <w:szCs w:val="28"/>
              <w:lang w:val="en-US" w:eastAsia="zh-CN"/>
            </w:rPr>
            <w:t>一</w:t>
          </w:r>
          <w:r>
            <w:rPr>
              <w:rFonts w:hint="eastAsia" w:ascii="楷体_GB2312" w:hAnsi="楷体_GB2312" w:eastAsia="楷体_GB2312" w:cs="楷体_GB2312"/>
              <w:szCs w:val="28"/>
              <w:lang w:eastAsia="zh-CN"/>
            </w:rPr>
            <w:t>）</w:t>
          </w:r>
          <w:r>
            <w:rPr>
              <w:rFonts w:hint="eastAsia" w:ascii="楷体_GB2312" w:hAnsi="楷体_GB2312" w:eastAsia="楷体_GB2312" w:cs="楷体_GB2312"/>
              <w:szCs w:val="28"/>
            </w:rPr>
            <w:t>本专业职业面向</w:t>
          </w:r>
          <w:r>
            <w:tab/>
          </w:r>
          <w:r>
            <w:fldChar w:fldCharType="begin"/>
          </w:r>
          <w:r>
            <w:instrText xml:space="preserve"> PAGEREF _Toc16142 \h </w:instrText>
          </w:r>
          <w:r>
            <w:fldChar w:fldCharType="separate"/>
          </w:r>
          <w:r>
            <w:t>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_Toc9981 </w:instrText>
          </w:r>
          <w:r>
            <w:fldChar w:fldCharType="separate"/>
          </w:r>
          <w:r>
            <w:rPr>
              <w:rFonts w:hint="eastAsia" w:ascii="楷体_GB2312" w:hAnsi="楷体_GB2312" w:eastAsia="楷体_GB2312" w:cs="楷体_GB2312"/>
              <w:szCs w:val="28"/>
              <w:lang w:eastAsia="zh-CN"/>
            </w:rPr>
            <w:t>（</w:t>
          </w:r>
          <w:r>
            <w:rPr>
              <w:rFonts w:hint="eastAsia" w:ascii="楷体_GB2312" w:hAnsi="楷体_GB2312" w:eastAsia="楷体_GB2312" w:cs="楷体_GB2312"/>
              <w:szCs w:val="28"/>
              <w:lang w:val="en-US" w:eastAsia="zh-CN"/>
            </w:rPr>
            <w:t>二</w:t>
          </w:r>
          <w:r>
            <w:rPr>
              <w:rFonts w:hint="eastAsia" w:ascii="楷体_GB2312" w:hAnsi="楷体_GB2312" w:eastAsia="楷体_GB2312" w:cs="楷体_GB2312"/>
              <w:szCs w:val="28"/>
              <w:lang w:eastAsia="zh-CN"/>
            </w:rPr>
            <w:t>）职业等级证书、行业企业标准和证书</w:t>
          </w:r>
          <w:r>
            <w:tab/>
          </w:r>
          <w:r>
            <w:fldChar w:fldCharType="begin"/>
          </w:r>
          <w:r>
            <w:instrText xml:space="preserve"> PAGEREF _Toc9981 \h </w:instrText>
          </w:r>
          <w:r>
            <w:fldChar w:fldCharType="separate"/>
          </w:r>
          <w:r>
            <w:t>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_Toc24781 </w:instrText>
          </w:r>
          <w:r>
            <w:fldChar w:fldCharType="separate"/>
          </w:r>
          <w:r>
            <w:rPr>
              <w:rFonts w:hint="eastAsia" w:ascii="楷体_GB2312" w:hAnsi="楷体_GB2312" w:eastAsia="楷体_GB2312" w:cs="楷体_GB2312"/>
              <w:szCs w:val="28"/>
              <w:lang w:eastAsia="zh-CN"/>
            </w:rPr>
            <w:t>（</w:t>
          </w:r>
          <w:r>
            <w:rPr>
              <w:rFonts w:hint="eastAsia" w:ascii="楷体_GB2312" w:hAnsi="楷体_GB2312" w:eastAsia="楷体_GB2312" w:cs="楷体_GB2312"/>
              <w:szCs w:val="28"/>
              <w:lang w:val="en-US" w:eastAsia="zh-CN"/>
            </w:rPr>
            <w:t>三</w:t>
          </w:r>
          <w:r>
            <w:rPr>
              <w:rFonts w:hint="eastAsia" w:ascii="楷体_GB2312" w:hAnsi="楷体_GB2312" w:eastAsia="楷体_GB2312" w:cs="楷体_GB2312"/>
              <w:szCs w:val="28"/>
              <w:lang w:eastAsia="zh-CN"/>
            </w:rPr>
            <w:t>）职业</w:t>
          </w:r>
          <w:r>
            <w:rPr>
              <w:rFonts w:hint="eastAsia" w:ascii="楷体_GB2312" w:hAnsi="楷体_GB2312" w:eastAsia="楷体_GB2312" w:cs="楷体_GB2312"/>
              <w:szCs w:val="28"/>
              <w:lang w:val="en-US" w:eastAsia="zh-CN"/>
            </w:rPr>
            <w:t>生涯发展路径</w:t>
          </w:r>
          <w:r>
            <w:tab/>
          </w:r>
          <w:r>
            <w:fldChar w:fldCharType="begin"/>
          </w:r>
          <w:r>
            <w:instrText xml:space="preserve"> PAGEREF _Toc24781 \h </w:instrText>
          </w:r>
          <w:r>
            <w:fldChar w:fldCharType="separate"/>
          </w:r>
          <w:r>
            <w:t>3</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_Toc7860 </w:instrText>
          </w:r>
          <w:r>
            <w:fldChar w:fldCharType="separate"/>
          </w:r>
          <w:r>
            <w:rPr>
              <w:rFonts w:hint="eastAsia" w:ascii="黑体" w:hAnsi="黑体" w:eastAsia="黑体" w:cs="黑体"/>
              <w:bCs/>
              <w:szCs w:val="28"/>
              <w:lang w:val="en-US" w:eastAsia="zh-CN"/>
            </w:rPr>
            <w:t>五、培养目标与规格</w:t>
          </w:r>
          <w:r>
            <w:tab/>
          </w:r>
          <w:r>
            <w:fldChar w:fldCharType="begin"/>
          </w:r>
          <w:r>
            <w:instrText xml:space="preserve"> PAGEREF _Toc7860 \h </w:instrText>
          </w:r>
          <w:r>
            <w:fldChar w:fldCharType="separate"/>
          </w:r>
          <w:r>
            <w:t>4</w:t>
          </w:r>
          <w:r>
            <w:fldChar w:fldCharType="end"/>
          </w:r>
          <w:r>
            <w:rPr>
              <w:color w:val="000000" w:themeColor="text1"/>
              <w14:textFill>
                <w14:solidFill>
                  <w14:schemeClr w14:val="tx1"/>
                </w14:solidFill>
              </w14:textFill>
            </w:rPr>
            <w:fldChar w:fldCharType="end"/>
          </w:r>
        </w:p>
        <w:p>
          <w:pPr>
            <w:pStyle w:val="17"/>
            <w:tabs>
              <w:tab w:val="right" w:leader="dot" w:pos="8845"/>
            </w:tabs>
            <w:ind w:firstLine="420" w:firstLineChars="200"/>
          </w:pPr>
          <w:r>
            <w:rPr>
              <w:color w:val="000000" w:themeColor="text1"/>
              <w14:textFill>
                <w14:solidFill>
                  <w14:schemeClr w14:val="tx1"/>
                </w14:solidFill>
              </w14:textFill>
            </w:rPr>
            <w:fldChar w:fldCharType="begin"/>
          </w:r>
          <w:r>
            <w:instrText xml:space="preserve"> HYPERLINK \l _Toc31453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一</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培养目标</w:t>
          </w:r>
          <w:r>
            <w:tab/>
          </w:r>
          <w:r>
            <w:fldChar w:fldCharType="begin"/>
          </w:r>
          <w:r>
            <w:instrText xml:space="preserve"> PAGEREF _Toc31453 \h </w:instrText>
          </w:r>
          <w:r>
            <w:fldChar w:fldCharType="separate"/>
          </w:r>
          <w:r>
            <w:t>4</w:t>
          </w:r>
          <w:r>
            <w:fldChar w:fldCharType="end"/>
          </w:r>
          <w:r>
            <w:rPr>
              <w:color w:val="000000" w:themeColor="text1"/>
              <w14:textFill>
                <w14:solidFill>
                  <w14:schemeClr w14:val="tx1"/>
                </w14:solidFill>
              </w14:textFill>
            </w:rPr>
            <w:fldChar w:fldCharType="end"/>
          </w:r>
        </w:p>
        <w:p>
          <w:pPr>
            <w:pStyle w:val="17"/>
            <w:tabs>
              <w:tab w:val="right" w:leader="dot" w:pos="8845"/>
            </w:tabs>
            <w:ind w:firstLine="420" w:firstLineChars="200"/>
          </w:pPr>
          <w:r>
            <w:rPr>
              <w:color w:val="000000" w:themeColor="text1"/>
              <w14:textFill>
                <w14:solidFill>
                  <w14:schemeClr w14:val="tx1"/>
                </w14:solidFill>
              </w14:textFill>
            </w:rPr>
            <w:fldChar w:fldCharType="begin"/>
          </w:r>
          <w:r>
            <w:instrText xml:space="preserve"> HYPERLINK \l _Toc20435 </w:instrText>
          </w:r>
          <w:r>
            <w:fldChar w:fldCharType="separate"/>
          </w:r>
          <w:r>
            <w:rPr>
              <w:rFonts w:hint="eastAsia" w:ascii="楷体" w:hAnsi="楷体" w:eastAsia="楷体" w:cs="楷体"/>
              <w:bCs/>
              <w:szCs w:val="28"/>
              <w:lang w:eastAsia="zh-CN"/>
            </w:rPr>
            <w:t>（</w:t>
          </w:r>
          <w:r>
            <w:rPr>
              <w:rFonts w:hint="eastAsia" w:ascii="楷体" w:hAnsi="楷体" w:eastAsia="楷体" w:cs="楷体"/>
              <w:bCs/>
              <w:szCs w:val="28"/>
              <w:lang w:val="en-US" w:eastAsia="zh-CN"/>
            </w:rPr>
            <w:t>二</w:t>
          </w:r>
          <w:r>
            <w:rPr>
              <w:rFonts w:hint="eastAsia" w:ascii="楷体" w:hAnsi="楷体" w:eastAsia="楷体" w:cs="楷体"/>
              <w:bCs/>
              <w:szCs w:val="28"/>
              <w:lang w:eastAsia="zh-CN"/>
            </w:rPr>
            <w:t>）</w:t>
          </w:r>
          <w:r>
            <w:rPr>
              <w:rFonts w:hint="eastAsia" w:ascii="楷体" w:hAnsi="楷体" w:eastAsia="楷体" w:cs="楷体"/>
              <w:bCs/>
              <w:szCs w:val="28"/>
            </w:rPr>
            <w:t>培养规格</w:t>
          </w:r>
          <w:r>
            <w:tab/>
          </w:r>
          <w:r>
            <w:fldChar w:fldCharType="begin"/>
          </w:r>
          <w:r>
            <w:instrText xml:space="preserve"> PAGEREF _Toc20435 \h </w:instrText>
          </w:r>
          <w:r>
            <w:fldChar w:fldCharType="separate"/>
          </w:r>
          <w:r>
            <w:t>4</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_Toc9617 </w:instrText>
          </w:r>
          <w:r>
            <w:fldChar w:fldCharType="separate"/>
          </w:r>
          <w:r>
            <w:rPr>
              <w:rFonts w:hint="eastAsia" w:ascii="楷体" w:hAnsi="楷体" w:eastAsia="楷体" w:cs="楷体"/>
              <w:bCs/>
              <w:szCs w:val="28"/>
              <w:lang w:eastAsia="zh-CN"/>
            </w:rPr>
            <w:t>（</w:t>
          </w:r>
          <w:r>
            <w:rPr>
              <w:rFonts w:hint="eastAsia" w:ascii="楷体" w:hAnsi="楷体" w:eastAsia="楷体" w:cs="楷体"/>
              <w:bCs/>
              <w:szCs w:val="28"/>
              <w:lang w:val="en-US" w:eastAsia="zh-CN"/>
            </w:rPr>
            <w:t>三</w:t>
          </w:r>
          <w:r>
            <w:rPr>
              <w:rFonts w:hint="eastAsia" w:ascii="楷体" w:hAnsi="楷体" w:eastAsia="楷体" w:cs="楷体"/>
              <w:bCs/>
              <w:szCs w:val="28"/>
              <w:lang w:eastAsia="zh-CN"/>
            </w:rPr>
            <w:t>）</w:t>
          </w:r>
          <w:r>
            <w:rPr>
              <w:rFonts w:hint="eastAsia" w:ascii="楷体" w:hAnsi="楷体" w:eastAsia="楷体" w:cs="楷体"/>
              <w:bCs/>
              <w:szCs w:val="28"/>
            </w:rPr>
            <w:t>创新创业能力的培养</w:t>
          </w:r>
          <w:r>
            <w:tab/>
          </w:r>
          <w:r>
            <w:fldChar w:fldCharType="begin"/>
          </w:r>
          <w:r>
            <w:instrText xml:space="preserve"> PAGEREF _Toc9617 \h </w:instrText>
          </w:r>
          <w:r>
            <w:fldChar w:fldCharType="separate"/>
          </w:r>
          <w:r>
            <w:t>6</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_Toc13220 </w:instrText>
          </w:r>
          <w:r>
            <w:fldChar w:fldCharType="separate"/>
          </w:r>
          <w:r>
            <w:rPr>
              <w:rFonts w:hint="eastAsia" w:ascii="黑体" w:hAnsi="黑体" w:eastAsia="黑体" w:cs="黑体"/>
              <w:szCs w:val="28"/>
              <w:lang w:val="en-US" w:eastAsia="zh-CN"/>
            </w:rPr>
            <w:t>六、</w:t>
          </w:r>
          <w:r>
            <w:rPr>
              <w:rFonts w:hint="eastAsia" w:ascii="黑体" w:hAnsi="黑体" w:eastAsia="黑体" w:cs="黑体"/>
              <w:szCs w:val="28"/>
            </w:rPr>
            <w:t>课程设置及要求</w:t>
          </w:r>
          <w:r>
            <w:tab/>
          </w:r>
          <w:r>
            <w:fldChar w:fldCharType="begin"/>
          </w:r>
          <w:r>
            <w:instrText xml:space="preserve"> PAGEREF _Toc13220 \h </w:instrText>
          </w:r>
          <w:r>
            <w:fldChar w:fldCharType="separate"/>
          </w:r>
          <w:r>
            <w:t>7</w:t>
          </w:r>
          <w:r>
            <w:fldChar w:fldCharType="end"/>
          </w:r>
          <w:r>
            <w:rPr>
              <w:color w:val="000000" w:themeColor="text1"/>
              <w14:textFill>
                <w14:solidFill>
                  <w14:schemeClr w14:val="tx1"/>
                </w14:solidFill>
              </w14:textFill>
            </w:rPr>
            <w:fldChar w:fldCharType="end"/>
          </w:r>
        </w:p>
        <w:p>
          <w:pPr>
            <w:pStyle w:val="17"/>
            <w:tabs>
              <w:tab w:val="right" w:leader="dot" w:pos="8845"/>
            </w:tabs>
            <w:ind w:firstLine="420" w:firstLineChars="200"/>
          </w:pPr>
          <w:r>
            <w:rPr>
              <w:color w:val="000000" w:themeColor="text1"/>
              <w14:textFill>
                <w14:solidFill>
                  <w14:schemeClr w14:val="tx1"/>
                </w14:solidFill>
              </w14:textFill>
            </w:rPr>
            <w:fldChar w:fldCharType="begin"/>
          </w:r>
          <w:r>
            <w:instrText xml:space="preserve"> HYPERLINK \l _Toc29687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一</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本专业公共基础课设置</w:t>
          </w:r>
          <w:r>
            <w:tab/>
          </w:r>
          <w:r>
            <w:fldChar w:fldCharType="begin"/>
          </w:r>
          <w:r>
            <w:instrText xml:space="preserve"> PAGEREF _Toc29687 \h </w:instrText>
          </w:r>
          <w:r>
            <w:fldChar w:fldCharType="separate"/>
          </w:r>
          <w:r>
            <w:t>7</w:t>
          </w:r>
          <w:r>
            <w:fldChar w:fldCharType="end"/>
          </w:r>
          <w:r>
            <w:rPr>
              <w:color w:val="000000" w:themeColor="text1"/>
              <w14:textFill>
                <w14:solidFill>
                  <w14:schemeClr w14:val="tx1"/>
                </w14:solidFill>
              </w14:textFill>
            </w:rPr>
            <w:fldChar w:fldCharType="end"/>
          </w:r>
        </w:p>
        <w:p>
          <w:pPr>
            <w:pStyle w:val="17"/>
            <w:tabs>
              <w:tab w:val="right" w:leader="dot" w:pos="8845"/>
            </w:tabs>
            <w:ind w:firstLine="420" w:firstLineChars="200"/>
          </w:pPr>
          <w:r>
            <w:rPr>
              <w:color w:val="000000" w:themeColor="text1"/>
              <w14:textFill>
                <w14:solidFill>
                  <w14:schemeClr w14:val="tx1"/>
                </w14:solidFill>
              </w14:textFill>
            </w:rPr>
            <w:fldChar w:fldCharType="begin"/>
          </w:r>
          <w:r>
            <w:instrText xml:space="preserve"> HYPERLINK \l _Toc27140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二</w:t>
          </w:r>
          <w:r>
            <w:rPr>
              <w:rFonts w:hint="eastAsia" w:ascii="楷体_GB2312" w:hAnsi="楷体_GB2312" w:eastAsia="楷体_GB2312" w:cs="楷体_GB2312"/>
              <w:bCs/>
              <w:szCs w:val="28"/>
              <w:lang w:eastAsia="zh-CN"/>
            </w:rPr>
            <w:t>）专业（技能）课</w:t>
          </w:r>
          <w:r>
            <w:rPr>
              <w:rFonts w:hint="eastAsia" w:ascii="楷体_GB2312" w:hAnsi="楷体_GB2312" w:eastAsia="楷体_GB2312" w:cs="楷体_GB2312"/>
              <w:bCs/>
              <w:szCs w:val="28"/>
            </w:rPr>
            <w:t>设置</w:t>
          </w:r>
          <w:r>
            <w:tab/>
          </w:r>
          <w:r>
            <w:fldChar w:fldCharType="begin"/>
          </w:r>
          <w:r>
            <w:instrText xml:space="preserve"> PAGEREF _Toc27140 \h </w:instrText>
          </w:r>
          <w:r>
            <w:fldChar w:fldCharType="separate"/>
          </w:r>
          <w:r>
            <w:t>9</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_Toc16060 </w:instrText>
          </w:r>
          <w:r>
            <w:fldChar w:fldCharType="separate"/>
          </w:r>
          <w:r>
            <w:rPr>
              <w:rFonts w:hint="eastAsia" w:ascii="黑体" w:hAnsi="黑体" w:eastAsia="黑体" w:cs="黑体"/>
              <w:bCs/>
              <w:szCs w:val="30"/>
              <w:lang w:val="en-US" w:eastAsia="zh-CN"/>
            </w:rPr>
            <w:t>七、</w:t>
          </w:r>
          <w:r>
            <w:rPr>
              <w:rFonts w:hint="eastAsia" w:ascii="黑体" w:hAnsi="黑体" w:eastAsia="黑体" w:cs="黑体"/>
              <w:bCs/>
              <w:szCs w:val="30"/>
            </w:rPr>
            <w:t>教学进程总体安排</w:t>
          </w:r>
          <w:r>
            <w:tab/>
          </w:r>
          <w:r>
            <w:fldChar w:fldCharType="begin"/>
          </w:r>
          <w:r>
            <w:instrText xml:space="preserve"> PAGEREF _Toc16060 \h </w:instrText>
          </w:r>
          <w:r>
            <w:fldChar w:fldCharType="separate"/>
          </w:r>
          <w:r>
            <w:t>13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_Toc18477 </w:instrText>
          </w:r>
          <w:r>
            <w:fldChar w:fldCharType="separate"/>
          </w:r>
          <w:r>
            <w:rPr>
              <w:rFonts w:hint="eastAsia" w:ascii="楷体_GB2312" w:hAnsi="楷体_GB2312" w:eastAsia="楷体_GB2312" w:cs="楷体_GB2312"/>
              <w:bCs/>
              <w:szCs w:val="30"/>
              <w:lang w:eastAsia="zh-CN"/>
            </w:rPr>
            <w:t>（</w:t>
          </w:r>
          <w:r>
            <w:rPr>
              <w:rFonts w:hint="eastAsia" w:ascii="楷体_GB2312" w:hAnsi="楷体_GB2312" w:eastAsia="楷体_GB2312" w:cs="楷体_GB2312"/>
              <w:bCs/>
              <w:szCs w:val="30"/>
              <w:lang w:val="en-US" w:eastAsia="zh-CN"/>
            </w:rPr>
            <w:t>一</w:t>
          </w:r>
          <w:r>
            <w:rPr>
              <w:rFonts w:hint="eastAsia" w:ascii="楷体_GB2312" w:hAnsi="楷体_GB2312" w:eastAsia="楷体_GB2312" w:cs="楷体_GB2312"/>
              <w:bCs/>
              <w:szCs w:val="30"/>
              <w:lang w:eastAsia="zh-CN"/>
            </w:rPr>
            <w:t>）</w:t>
          </w:r>
          <w:r>
            <w:rPr>
              <w:rFonts w:hint="eastAsia" w:ascii="楷体_GB2312" w:hAnsi="楷体_GB2312" w:eastAsia="楷体_GB2312" w:cs="楷体_GB2312"/>
              <w:bCs/>
              <w:szCs w:val="30"/>
            </w:rPr>
            <w:t>教育教学时间安排表</w:t>
          </w:r>
          <w:r>
            <w:tab/>
          </w:r>
          <w:r>
            <w:fldChar w:fldCharType="begin"/>
          </w:r>
          <w:r>
            <w:instrText xml:space="preserve"> PAGEREF _Toc18477 \h </w:instrText>
          </w:r>
          <w:r>
            <w:fldChar w:fldCharType="separate"/>
          </w:r>
          <w:r>
            <w:t>13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_Toc20608 </w:instrText>
          </w:r>
          <w:r>
            <w:fldChar w:fldCharType="separate"/>
          </w:r>
          <w:r>
            <w:rPr>
              <w:rFonts w:hint="eastAsia" w:ascii="楷体_GB2312" w:hAnsi="楷体_GB2312" w:eastAsia="楷体_GB2312" w:cs="楷体_GB2312"/>
              <w:bCs/>
              <w:szCs w:val="30"/>
              <w:lang w:eastAsia="zh-CN"/>
            </w:rPr>
            <w:t>（</w:t>
          </w:r>
          <w:r>
            <w:rPr>
              <w:rFonts w:hint="eastAsia" w:ascii="楷体_GB2312" w:hAnsi="楷体_GB2312" w:eastAsia="楷体_GB2312" w:cs="楷体_GB2312"/>
              <w:bCs/>
              <w:szCs w:val="30"/>
              <w:lang w:val="en-US" w:eastAsia="zh-CN"/>
            </w:rPr>
            <w:t>二</w:t>
          </w:r>
          <w:r>
            <w:rPr>
              <w:rFonts w:hint="eastAsia" w:ascii="楷体_GB2312" w:hAnsi="楷体_GB2312" w:eastAsia="楷体_GB2312" w:cs="楷体_GB2312"/>
              <w:bCs/>
              <w:szCs w:val="30"/>
              <w:lang w:eastAsia="zh-CN"/>
            </w:rPr>
            <w:t>）理论与实践教学学时分配表</w:t>
          </w:r>
          <w:r>
            <w:tab/>
          </w:r>
          <w:r>
            <w:fldChar w:fldCharType="begin"/>
          </w:r>
          <w:r>
            <w:instrText xml:space="preserve"> PAGEREF _Toc20608 \h </w:instrText>
          </w:r>
          <w:r>
            <w:fldChar w:fldCharType="separate"/>
          </w:r>
          <w:r>
            <w:t>13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_Toc22338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三</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教学进度安排计划表----必修课程设置及学分、学时、进程表</w:t>
          </w:r>
          <w:r>
            <w:tab/>
          </w:r>
          <w:r>
            <w:fldChar w:fldCharType="begin"/>
          </w:r>
          <w:r>
            <w:instrText xml:space="preserve"> PAGEREF _Toc22338 \h </w:instrText>
          </w:r>
          <w:r>
            <w:fldChar w:fldCharType="separate"/>
          </w:r>
          <w:r>
            <w:t>14</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_Toc31424 </w:instrText>
          </w:r>
          <w:r>
            <w:fldChar w:fldCharType="separate"/>
          </w:r>
          <w:r>
            <w:rPr>
              <w:rFonts w:hint="eastAsia" w:ascii="黑体" w:hAnsi="黑体" w:eastAsia="黑体" w:cs="黑体"/>
              <w:bCs/>
              <w:szCs w:val="28"/>
              <w:lang w:val="en-US" w:eastAsia="zh-CN"/>
            </w:rPr>
            <w:t>八、</w:t>
          </w:r>
          <w:r>
            <w:rPr>
              <w:rFonts w:hint="eastAsia" w:ascii="黑体" w:hAnsi="黑体" w:eastAsia="黑体" w:cs="黑体"/>
              <w:bCs/>
              <w:szCs w:val="28"/>
            </w:rPr>
            <w:t>实施与保障</w:t>
          </w:r>
          <w:r>
            <w:tab/>
          </w:r>
          <w:r>
            <w:fldChar w:fldCharType="begin"/>
          </w:r>
          <w:r>
            <w:instrText xml:space="preserve"> PAGEREF _Toc31424 \h </w:instrText>
          </w:r>
          <w:r>
            <w:fldChar w:fldCharType="separate"/>
          </w:r>
          <w:r>
            <w:t>22</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_Toc25638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一</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师资队伍</w:t>
          </w:r>
          <w:r>
            <w:tab/>
          </w:r>
          <w:r>
            <w:fldChar w:fldCharType="begin"/>
          </w:r>
          <w:r>
            <w:instrText xml:space="preserve"> PAGEREF _Toc25638 \h </w:instrText>
          </w:r>
          <w:r>
            <w:fldChar w:fldCharType="separate"/>
          </w:r>
          <w:r>
            <w:t>22</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_Toc31426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二</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教学设施</w:t>
          </w:r>
          <w:r>
            <w:tab/>
          </w:r>
          <w:r>
            <w:fldChar w:fldCharType="begin"/>
          </w:r>
          <w:r>
            <w:instrText xml:space="preserve"> PAGEREF _Toc31426 \h </w:instrText>
          </w:r>
          <w:r>
            <w:fldChar w:fldCharType="separate"/>
          </w:r>
          <w:r>
            <w:t>22</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_Toc4916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三</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教学资源</w:t>
          </w:r>
          <w:r>
            <w:tab/>
          </w:r>
          <w:r>
            <w:fldChar w:fldCharType="begin"/>
          </w:r>
          <w:r>
            <w:instrText xml:space="preserve"> PAGEREF _Toc4916 \h </w:instrText>
          </w:r>
          <w:r>
            <w:fldChar w:fldCharType="separate"/>
          </w:r>
          <w:r>
            <w:t>23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_Toc30455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四</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教学方法</w:t>
          </w:r>
          <w:r>
            <w:tab/>
          </w:r>
          <w:r>
            <w:fldChar w:fldCharType="begin"/>
          </w:r>
          <w:r>
            <w:instrText xml:space="preserve"> PAGEREF _Toc30455 \h </w:instrText>
          </w:r>
          <w:r>
            <w:fldChar w:fldCharType="separate"/>
          </w:r>
          <w:r>
            <w:t>23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_Toc16020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五</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学习评价</w:t>
          </w:r>
          <w:r>
            <w:tab/>
          </w:r>
          <w:r>
            <w:fldChar w:fldCharType="begin"/>
          </w:r>
          <w:r>
            <w:instrText xml:space="preserve"> PAGEREF _Toc16020 \h </w:instrText>
          </w:r>
          <w:r>
            <w:fldChar w:fldCharType="separate"/>
          </w:r>
          <w:r>
            <w:t>24</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_Toc24701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六</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质量管理</w:t>
          </w:r>
          <w:r>
            <w:tab/>
          </w:r>
          <w:r>
            <w:fldChar w:fldCharType="begin"/>
          </w:r>
          <w:r>
            <w:instrText xml:space="preserve"> PAGEREF _Toc24701 \h </w:instrText>
          </w:r>
          <w:r>
            <w:fldChar w:fldCharType="separate"/>
          </w:r>
          <w:r>
            <w:t>24</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_Toc23606 </w:instrText>
          </w:r>
          <w:r>
            <w:fldChar w:fldCharType="separate"/>
          </w:r>
          <w:r>
            <w:rPr>
              <w:rFonts w:hint="eastAsia" w:ascii="黑体" w:hAnsi="黑体" w:eastAsia="黑体" w:cs="黑体"/>
              <w:bCs/>
              <w:szCs w:val="28"/>
              <w:lang w:val="en-US" w:eastAsia="zh-CN"/>
            </w:rPr>
            <w:t>九、</w:t>
          </w:r>
          <w:r>
            <w:rPr>
              <w:rFonts w:hint="eastAsia" w:ascii="黑体" w:hAnsi="黑体" w:eastAsia="黑体" w:cs="黑体"/>
              <w:bCs/>
              <w:szCs w:val="28"/>
            </w:rPr>
            <w:t>毕业生要求</w:t>
          </w:r>
          <w:r>
            <w:tab/>
          </w:r>
          <w:r>
            <w:fldChar w:fldCharType="begin"/>
          </w:r>
          <w:r>
            <w:instrText xml:space="preserve"> PAGEREF _Toc23606 \h </w:instrText>
          </w:r>
          <w:r>
            <w:fldChar w:fldCharType="separate"/>
          </w:r>
          <w:r>
            <w:t>26</w:t>
          </w:r>
          <w:r>
            <w:fldChar w:fldCharType="end"/>
          </w:r>
          <w:r>
            <w:rPr>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eastAsia="zh-CN"/>
          <w14:textFill>
            <w14:solidFill>
              <w14:schemeClr w14:val="tx1"/>
            </w14:solidFill>
          </w14:textFill>
        </w:rPr>
      </w:pPr>
      <w:bookmarkStart w:id="0" w:name="_Toc30087"/>
      <w:r>
        <w:rPr>
          <w:rFonts w:hint="eastAsia" w:ascii="黑体" w:hAnsi="黑体" w:eastAsia="黑体" w:cs="黑体"/>
          <w:b w:val="0"/>
          <w:bCs/>
          <w:color w:val="000000" w:themeColor="text1"/>
          <w:sz w:val="28"/>
          <w:szCs w:val="28"/>
          <w:lang w:val="en-US" w:eastAsia="zh-CN"/>
          <w14:textFill>
            <w14:solidFill>
              <w14:schemeClr w14:val="tx1"/>
            </w14:solidFill>
          </w14:textFill>
        </w:rPr>
        <w:t>一、</w:t>
      </w:r>
      <w:r>
        <w:rPr>
          <w:rFonts w:hint="eastAsia" w:ascii="黑体" w:hAnsi="黑体" w:eastAsia="黑体" w:cs="黑体"/>
          <w:b w:val="0"/>
          <w:bCs/>
          <w:color w:val="000000" w:themeColor="text1"/>
          <w:sz w:val="28"/>
          <w:szCs w:val="28"/>
          <w14:textFill>
            <w14:solidFill>
              <w14:schemeClr w14:val="tx1"/>
            </w14:solidFill>
          </w14:textFill>
        </w:rPr>
        <w:t>专业名称</w:t>
      </w:r>
      <w:r>
        <w:rPr>
          <w:rFonts w:hint="eastAsia" w:ascii="黑体" w:hAnsi="黑体" w:eastAsia="黑体" w:cs="黑体"/>
          <w:b w:val="0"/>
          <w:bCs/>
          <w:color w:val="000000" w:themeColor="text1"/>
          <w:sz w:val="28"/>
          <w:szCs w:val="28"/>
          <w:lang w:eastAsia="zh-CN"/>
          <w14:textFill>
            <w14:solidFill>
              <w14:schemeClr w14:val="tx1"/>
            </w14:solidFill>
          </w14:textFill>
        </w:rPr>
        <w:t>（</w:t>
      </w:r>
      <w:r>
        <w:rPr>
          <w:rFonts w:hint="eastAsia" w:ascii="黑体" w:hAnsi="黑体" w:eastAsia="黑体" w:cs="黑体"/>
          <w:b w:val="0"/>
          <w:bCs/>
          <w:color w:val="000000" w:themeColor="text1"/>
          <w:sz w:val="28"/>
          <w:szCs w:val="28"/>
          <w:lang w:val="en-US" w:eastAsia="zh-CN"/>
          <w14:textFill>
            <w14:solidFill>
              <w14:schemeClr w14:val="tx1"/>
            </w14:solidFill>
          </w14:textFill>
        </w:rPr>
        <w:t>专业代码</w:t>
      </w:r>
      <w:r>
        <w:rPr>
          <w:rFonts w:hint="eastAsia" w:ascii="黑体" w:hAnsi="黑体" w:eastAsia="黑体" w:cs="黑体"/>
          <w:b w:val="0"/>
          <w:bCs/>
          <w:color w:val="000000" w:themeColor="text1"/>
          <w:sz w:val="28"/>
          <w:szCs w:val="28"/>
          <w:lang w:eastAsia="zh-CN"/>
          <w14:textFill>
            <w14:solidFill>
              <w14:schemeClr w14:val="tx1"/>
            </w14:solidFill>
          </w14:textFill>
        </w:rPr>
        <w:t>）</w:t>
      </w:r>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专业名称：</w:t>
      </w:r>
      <w:r>
        <w:rPr>
          <w:rFonts w:hint="eastAsia" w:ascii="仿宋_GB2312" w:hAnsi="仿宋_GB2312" w:eastAsia="仿宋_GB2312" w:cs="仿宋_GB2312"/>
          <w:bCs/>
          <w:color w:val="000000" w:themeColor="text1"/>
          <w:sz w:val="28"/>
          <w:szCs w:val="28"/>
          <w14:textFill>
            <w14:solidFill>
              <w14:schemeClr w14:val="tx1"/>
            </w14:solidFill>
          </w14:textFill>
        </w:rPr>
        <w:t>市政工程技术</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专业代码：</w:t>
      </w:r>
      <w:r>
        <w:rPr>
          <w:rFonts w:ascii="仿宋_GB2312" w:hAnsi="仿宋_GB2312" w:eastAsia="仿宋_GB2312" w:cs="仿宋_GB2312"/>
          <w:bCs/>
          <w:color w:val="000000" w:themeColor="text1"/>
          <w:sz w:val="28"/>
          <w:szCs w:val="28"/>
          <w14:textFill>
            <w14:solidFill>
              <w14:schemeClr w14:val="tx1"/>
            </w14:solidFill>
          </w14:textFill>
        </w:rPr>
        <w:t>440601</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1" w:name="_Toc10415"/>
      <w:r>
        <w:rPr>
          <w:rFonts w:hint="eastAsia" w:ascii="黑体" w:hAnsi="黑体" w:eastAsia="黑体" w:cs="黑体"/>
          <w:b w:val="0"/>
          <w:bCs/>
          <w:color w:val="000000" w:themeColor="text1"/>
          <w:sz w:val="28"/>
          <w:szCs w:val="28"/>
          <w:lang w:val="en-US" w:eastAsia="zh-CN"/>
          <w14:textFill>
            <w14:solidFill>
              <w14:schemeClr w14:val="tx1"/>
            </w14:solidFill>
          </w14:textFill>
        </w:rPr>
        <w:t>二、入学要求</w:t>
      </w:r>
      <w:bookmarkEnd w:id="1"/>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高中阶段教育毕业生/具有同等学力者。</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2" w:name="_Toc20397"/>
      <w:r>
        <w:rPr>
          <w:rFonts w:hint="eastAsia" w:ascii="黑体" w:hAnsi="黑体" w:eastAsia="黑体" w:cs="黑体"/>
          <w:b w:val="0"/>
          <w:bCs/>
          <w:color w:val="000000" w:themeColor="text1"/>
          <w:sz w:val="28"/>
          <w:szCs w:val="28"/>
          <w:lang w:val="en-US" w:eastAsia="zh-CN"/>
          <w14:textFill>
            <w14:solidFill>
              <w14:schemeClr w14:val="tx1"/>
            </w14:solidFill>
          </w14:textFill>
        </w:rPr>
        <w:t>三、修业年限及学历</w:t>
      </w:r>
      <w:bookmarkEnd w:id="2"/>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基本学制3年，专科。</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3" w:name="_Toc27009"/>
      <w:r>
        <w:rPr>
          <w:rFonts w:hint="eastAsia" w:ascii="黑体" w:hAnsi="黑体" w:eastAsia="黑体" w:cs="黑体"/>
          <w:b w:val="0"/>
          <w:bCs/>
          <w:color w:val="000000" w:themeColor="text1"/>
          <w:sz w:val="28"/>
          <w:szCs w:val="28"/>
          <w:lang w:val="en-US" w:eastAsia="zh-CN"/>
          <w14:textFill>
            <w14:solidFill>
              <w14:schemeClr w14:val="tx1"/>
            </w14:solidFill>
          </w14:textFill>
        </w:rPr>
        <w:t>四、职业面向</w:t>
      </w:r>
      <w:bookmarkEnd w:id="3"/>
      <w:bookmarkStart w:id="4" w:name="_Toc38299245"/>
      <w:bookmarkStart w:id="5" w:name="_Toc38201832"/>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1"/>
        <w:rPr>
          <w:rFonts w:hint="eastAsia" w:ascii="楷体_GB2312" w:hAnsi="楷体_GB2312" w:eastAsia="楷体_GB2312" w:cs="楷体_GB2312"/>
          <w:color w:val="000000" w:themeColor="text1"/>
          <w:sz w:val="28"/>
          <w:szCs w:val="28"/>
          <w14:textFill>
            <w14:solidFill>
              <w14:schemeClr w14:val="tx1"/>
            </w14:solidFill>
          </w14:textFill>
        </w:rPr>
      </w:pPr>
      <w:bookmarkStart w:id="6" w:name="_Toc16142"/>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本专业职业面向</w:t>
      </w:r>
      <w:bookmarkEnd w:id="4"/>
      <w:bookmarkEnd w:id="5"/>
      <w:bookmarkEnd w:id="6"/>
    </w:p>
    <w:tbl>
      <w:tblPr>
        <w:tblStyle w:val="27"/>
        <w:tblpPr w:leftFromText="180" w:rightFromText="180" w:vertAnchor="text" w:horzAnchor="page" w:tblpX="1838" w:tblpY="350"/>
        <w:tblOverlap w:val="never"/>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90"/>
        <w:gridCol w:w="1512"/>
        <w:gridCol w:w="2238"/>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所属专业大类（代码）</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所属专业类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（代码）</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对应行业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（代码）</w:t>
            </w:r>
          </w:p>
        </w:tc>
        <w:tc>
          <w:tcPr>
            <w:tcW w:w="2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主要职业类别</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（代码）</w:t>
            </w:r>
          </w:p>
        </w:tc>
        <w:tc>
          <w:tcPr>
            <w:tcW w:w="2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主要岗位群或技术领域举例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土木建筑大类（44）</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市政工程类（4406）</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土木工程建筑业（48）</w:t>
            </w:r>
          </w:p>
        </w:tc>
        <w:tc>
          <w:tcPr>
            <w:tcW w:w="22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val="0"/>
              <w:snapToGrid/>
              <w:spacing w:line="240" w:lineRule="auto"/>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建筑工程技术人员（2-02-18）</w:t>
            </w:r>
          </w:p>
          <w:p>
            <w:pPr>
              <w:keepNext w:val="0"/>
              <w:keepLines w:val="0"/>
              <w:pageBreakBefore w:val="0"/>
              <w:widowControl w:val="0"/>
              <w:kinsoku/>
              <w:wordWrap/>
              <w:overflowPunct w:val="0"/>
              <w:topLinePunct w:val="0"/>
              <w:autoSpaceDE/>
              <w:autoSpaceDN/>
              <w:bidi w:val="0"/>
              <w:adjustRightInd w:val="0"/>
              <w:snapToGrid/>
              <w:spacing w:line="240" w:lineRule="auto"/>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建筑工程技术人员（2-02-</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8）</w:t>
            </w:r>
          </w:p>
          <w:p>
            <w:pPr>
              <w:keepNext w:val="0"/>
              <w:keepLines w:val="0"/>
              <w:pageBreakBefore w:val="0"/>
              <w:widowControl w:val="0"/>
              <w:kinsoku/>
              <w:wordWrap/>
              <w:overflowPunct w:val="0"/>
              <w:topLinePunct w:val="0"/>
              <w:autoSpaceDE/>
              <w:autoSpaceDN/>
              <w:bidi w:val="0"/>
              <w:adjustRightInd w:val="0"/>
              <w:snapToGrid/>
              <w:spacing w:line="240" w:lineRule="auto"/>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质量管理工程技术人员</w:t>
            </w:r>
            <w:r>
              <w:rPr>
                <w:rFonts w:hint="eastAsia" w:ascii="宋体" w:hAnsi="宋体" w:eastAsia="宋体" w:cs="宋体"/>
                <w:color w:val="000000" w:themeColor="text1"/>
                <w:szCs w:val="21"/>
                <w14:textFill>
                  <w14:solidFill>
                    <w14:schemeClr w14:val="tx1"/>
                  </w14:solidFill>
                </w14:textFill>
              </w:rPr>
              <w:t>（2-02-</w:t>
            </w:r>
            <w:r>
              <w:rPr>
                <w:rFonts w:hint="eastAsia" w:ascii="宋体" w:hAnsi="宋体" w:eastAsia="宋体" w:cs="宋体"/>
                <w:color w:val="000000" w:themeColor="text1"/>
                <w:szCs w:val="21"/>
                <w:lang w:val="en-US" w:eastAsia="zh-CN"/>
                <w14:textFill>
                  <w14:solidFill>
                    <w14:schemeClr w14:val="tx1"/>
                  </w14:solidFill>
                </w14:textFill>
              </w:rPr>
              <w:t>29-03</w:t>
            </w:r>
            <w:r>
              <w:rPr>
                <w:rFonts w:hint="eastAsia" w:ascii="宋体" w:hAnsi="宋体" w:eastAsia="宋体" w:cs="宋体"/>
                <w:color w:val="000000" w:themeColor="text1"/>
                <w:szCs w:val="21"/>
                <w14:textFill>
                  <w14:solidFill>
                    <w14:schemeClr w14:val="tx1"/>
                  </w14:solidFill>
                </w14:textFill>
              </w:rPr>
              <w:t>）</w:t>
            </w:r>
          </w:p>
        </w:tc>
        <w:tc>
          <w:tcPr>
            <w:tcW w:w="2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市政工程施工员；</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市政工程安全员；</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市政工程施工员；</w:t>
            </w:r>
          </w:p>
        </w:tc>
      </w:tr>
    </w:tbl>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eastAsia" w:ascii="楷体_GB2312" w:hAnsi="楷体_GB2312" w:eastAsia="楷体_GB2312" w:cs="楷体_GB2312"/>
          <w:color w:val="000000" w:themeColor="text1"/>
          <w:sz w:val="28"/>
          <w:szCs w:val="28"/>
          <w:lang w:eastAsia="zh-CN"/>
          <w14:textFill>
            <w14:solidFill>
              <w14:schemeClr w14:val="tx1"/>
            </w14:solidFill>
          </w14:textFill>
        </w:rPr>
      </w:pPr>
      <w:bookmarkStart w:id="7" w:name="_Toc9981"/>
      <w:bookmarkStart w:id="8" w:name="_Toc38299246"/>
      <w:bookmarkStart w:id="9" w:name="_Toc38201833"/>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lang w:eastAsia="zh-CN"/>
          <w14:textFill>
            <w14:solidFill>
              <w14:schemeClr w14:val="tx1"/>
            </w14:solidFill>
          </w14:textFill>
        </w:rPr>
        <w:t>）职业等级证书、行业企业标准和证书</w:t>
      </w:r>
      <w:bookmarkEnd w:id="7"/>
      <w:bookmarkEnd w:id="8"/>
      <w:bookmarkEnd w:id="9"/>
    </w:p>
    <w:p>
      <w:pPr>
        <w:pStyle w:val="82"/>
        <w:spacing w:line="560" w:lineRule="exact"/>
        <w:ind w:firstLine="560" w:firstLineChars="200"/>
        <w:outlineLvl w:val="9"/>
        <w:rPr>
          <w:rFonts w:ascii="仿宋_GB2312" w:hAnsi="仿宋_GB2312" w:eastAsia="仿宋_GB2312" w:cs="仿宋_GB2312"/>
          <w:b w:val="0"/>
          <w:color w:val="000000" w:themeColor="text1"/>
          <w:sz w:val="28"/>
          <w:szCs w:val="28"/>
          <w14:textFill>
            <w14:solidFill>
              <w14:schemeClr w14:val="tx1"/>
            </w14:solidFill>
          </w14:textFill>
        </w:rPr>
      </w:pPr>
      <w:bookmarkStart w:id="10" w:name="_Toc1725"/>
      <w:bookmarkStart w:id="11" w:name="_Toc9012"/>
      <w:bookmarkStart w:id="12" w:name="_Toc25935"/>
      <w:bookmarkStart w:id="13" w:name="_Toc24781"/>
      <w:r>
        <w:rPr>
          <w:rFonts w:hint="eastAsia" w:ascii="仿宋_GB2312" w:hAnsi="仿宋_GB2312" w:eastAsia="仿宋_GB2312" w:cs="仿宋_GB2312"/>
          <w:b w:val="0"/>
          <w:color w:val="000000" w:themeColor="text1"/>
          <w:sz w:val="28"/>
          <w:szCs w:val="28"/>
          <w14:textFill>
            <w14:solidFill>
              <w14:schemeClr w14:val="tx1"/>
            </w14:solidFill>
          </w14:textFill>
        </w:rPr>
        <w:t>1.通用证书</w:t>
      </w:r>
      <w:bookmarkEnd w:id="10"/>
      <w:bookmarkEnd w:id="11"/>
      <w:bookmarkEnd w:id="12"/>
    </w:p>
    <w:tbl>
      <w:tblPr>
        <w:tblStyle w:val="27"/>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13" w:type="dxa"/>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2190" w:type="dxa"/>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考核项目</w:t>
            </w:r>
          </w:p>
        </w:tc>
        <w:tc>
          <w:tcPr>
            <w:tcW w:w="3762" w:type="dxa"/>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考核发证部门</w:t>
            </w:r>
          </w:p>
        </w:tc>
        <w:tc>
          <w:tcPr>
            <w:tcW w:w="946" w:type="dxa"/>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等级</w:t>
            </w:r>
          </w:p>
        </w:tc>
        <w:tc>
          <w:tcPr>
            <w:tcW w:w="845" w:type="dxa"/>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exact"/>
          <w:jc w:val="center"/>
        </w:trPr>
        <w:tc>
          <w:tcPr>
            <w:tcW w:w="813"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190"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全国英语等级考试</w:t>
            </w:r>
          </w:p>
        </w:tc>
        <w:tc>
          <w:tcPr>
            <w:tcW w:w="3762"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教育部考试中心</w:t>
            </w:r>
          </w:p>
        </w:tc>
        <w:tc>
          <w:tcPr>
            <w:tcW w:w="946"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三/四级</w:t>
            </w:r>
          </w:p>
        </w:tc>
        <w:tc>
          <w:tcPr>
            <w:tcW w:w="845" w:type="dxa"/>
            <w:vAlign w:val="center"/>
          </w:tcPr>
          <w:p>
            <w:pPr>
              <w:snapToGrid w:val="0"/>
              <w:jc w:val="center"/>
              <w:rPr>
                <w:rFonts w:ascii="宋体" w:hAnsi="宋体" w:eastAsia="宋体" w:cs="宋体"/>
                <w:color w:val="000000" w:themeColor="text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813"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2190"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普通话</w:t>
            </w:r>
          </w:p>
        </w:tc>
        <w:tc>
          <w:tcPr>
            <w:tcW w:w="3762"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国家语言文字委员会</w:t>
            </w:r>
          </w:p>
        </w:tc>
        <w:tc>
          <w:tcPr>
            <w:tcW w:w="946"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二乙</w:t>
            </w:r>
          </w:p>
        </w:tc>
        <w:tc>
          <w:tcPr>
            <w:tcW w:w="845" w:type="dxa"/>
            <w:vAlign w:val="center"/>
          </w:tcPr>
          <w:p>
            <w:pPr>
              <w:snapToGrid w:val="0"/>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813"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2190"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全国计算机等级考试</w:t>
            </w:r>
          </w:p>
        </w:tc>
        <w:tc>
          <w:tcPr>
            <w:tcW w:w="3762"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教育部考试中心</w:t>
            </w:r>
          </w:p>
        </w:tc>
        <w:tc>
          <w:tcPr>
            <w:tcW w:w="946"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一/二级</w:t>
            </w:r>
          </w:p>
        </w:tc>
        <w:tc>
          <w:tcPr>
            <w:tcW w:w="845" w:type="dxa"/>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任选</w:t>
            </w:r>
          </w:p>
        </w:tc>
      </w:tr>
    </w:tbl>
    <w:p>
      <w:pPr>
        <w:pStyle w:val="82"/>
        <w:ind w:firstLine="560" w:firstLineChars="200"/>
        <w:outlineLvl w:val="9"/>
        <w:rPr>
          <w:rFonts w:ascii="仿宋_GB2312" w:hAnsi="仿宋_GB2312" w:eastAsia="仿宋_GB2312" w:cs="仿宋_GB2312"/>
          <w:b w:val="0"/>
          <w:color w:val="000000" w:themeColor="text1"/>
          <w:sz w:val="28"/>
          <w:szCs w:val="28"/>
          <w14:textFill>
            <w14:solidFill>
              <w14:schemeClr w14:val="tx1"/>
            </w14:solidFill>
          </w14:textFill>
        </w:rPr>
      </w:pPr>
      <w:bookmarkStart w:id="14" w:name="_Toc32008"/>
      <w:bookmarkStart w:id="15" w:name="_Toc13573"/>
      <w:bookmarkStart w:id="16" w:name="_Toc31899"/>
      <w:r>
        <w:rPr>
          <w:rFonts w:hint="eastAsia" w:ascii="仿宋_GB2312" w:hAnsi="仿宋_GB2312" w:eastAsia="仿宋_GB2312" w:cs="仿宋_GB2312"/>
          <w:b w:val="0"/>
          <w:color w:val="000000" w:themeColor="text1"/>
          <w:sz w:val="28"/>
          <w:szCs w:val="28"/>
          <w14:textFill>
            <w14:solidFill>
              <w14:schemeClr w14:val="tx1"/>
            </w14:solidFill>
          </w14:textFill>
        </w:rPr>
        <w:t>2.本专业职业资格证书</w:t>
      </w:r>
      <w:bookmarkEnd w:id="14"/>
      <w:bookmarkEnd w:id="15"/>
      <w:bookmarkEnd w:id="16"/>
    </w:p>
    <w:tbl>
      <w:tblPr>
        <w:tblStyle w:val="2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05" w:leftChars="5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等级</w:t>
            </w:r>
          </w:p>
        </w:tc>
        <w:tc>
          <w:tcPr>
            <w:tcW w:w="9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4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916" w:type="dxa"/>
            <w:tcBorders>
              <w:top w:val="single" w:color="auto" w:sz="4" w:space="0"/>
              <w:left w:val="single" w:color="auto" w:sz="4" w:space="0"/>
              <w:bottom w:val="single" w:color="auto" w:sz="4" w:space="0"/>
              <w:right w:val="single" w:color="auto" w:sz="4" w:space="0"/>
            </w:tcBorders>
            <w:vAlign w:val="bottom"/>
          </w:tcPr>
          <w:p>
            <w:pPr>
              <w:snapToGrid w:val="0"/>
              <w:spacing w:line="4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施工员（工程类）</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ascii="Helvetica" w:hAnsi="Helvetica"/>
                <w:color w:val="333333"/>
                <w:szCs w:val="21"/>
                <w:shd w:val="clear" w:color="auto" w:fill="FFFFFF"/>
              </w:rPr>
              <w:t>省住建厅或直辖市住建委</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资料员（工程类）</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ascii="Helvetica" w:hAnsi="Helvetica"/>
                <w:color w:val="333333"/>
                <w:szCs w:val="21"/>
                <w:shd w:val="clear" w:color="auto" w:fill="FFFFFF"/>
              </w:rPr>
              <w:t>省住建厅或直辖市住建委</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spacing w:line="4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916" w:type="dxa"/>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材料员（工程类）</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ascii="Helvetica" w:hAnsi="Helvetica"/>
                <w:color w:val="333333"/>
                <w:szCs w:val="21"/>
                <w:shd w:val="clear" w:color="auto" w:fill="FFFFFF"/>
              </w:rPr>
              <w:t>省住建厅或直辖市住建委</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测量员（工程类）</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国家测绘地理信息职业技能鉴定指导中心</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rPr>
                <w:rFonts w:ascii="宋体" w:hAnsi="宋体" w:eastAsia="宋体" w:cs="宋体"/>
                <w:color w:val="000000" w:themeColor="text1"/>
                <w:szCs w:val="21"/>
                <w14:textFill>
                  <w14:solidFill>
                    <w14:schemeClr w14:val="tx1"/>
                  </w14:solidFill>
                </w14:textFill>
              </w:rPr>
            </w:pPr>
          </w:p>
        </w:tc>
      </w:tr>
    </w:tbl>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default"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lang w:eastAsia="zh-CN"/>
          <w14:textFill>
            <w14:solidFill>
              <w14:schemeClr w14:val="tx1"/>
            </w14:solidFill>
          </w14:textFill>
        </w:rPr>
        <w:t>）职业</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生涯发展路径</w:t>
      </w:r>
      <w:bookmarkEnd w:id="13"/>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2334260</wp:posOffset>
                </wp:positionH>
                <wp:positionV relativeFrom="paragraph">
                  <wp:posOffset>299720</wp:posOffset>
                </wp:positionV>
                <wp:extent cx="1282065" cy="955675"/>
                <wp:effectExtent l="6350" t="6350" r="6985" b="9525"/>
                <wp:wrapNone/>
                <wp:docPr id="15" name="矩形 15"/>
                <wp:cNvGraphicFramePr/>
                <a:graphic xmlns:a="http://schemas.openxmlformats.org/drawingml/2006/main">
                  <a:graphicData uri="http://schemas.microsoft.com/office/word/2010/wordprocessingShape">
                    <wps:wsp>
                      <wps:cNvSpPr/>
                      <wps:spPr>
                        <a:xfrm>
                          <a:off x="0" y="0"/>
                          <a:ext cx="1282065" cy="95567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目标岗位</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（初级工程师）</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（二级建造师）</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3.8pt;margin-top:23.6pt;height:75.25pt;width:100.95pt;z-index:251661312;v-text-anchor:middle;mso-width-relative:page;mso-height-relative:page;" filled="f" stroked="t" coordsize="21600,21600" o:gfxdata="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cL5C9kAAAAKAQAADwAAAAAAAAABACAAAAAiAAAAZHJzL2Rvd25yZXYueG1sUEsBAhQA&#10;FAAAAAgAh07iQCRbfXFjAgAAwQQAAA4AAAAAAAAAAQAgAAAAKAEAAGRycy9lMm9Eb2MueG1sUEsF&#10;BgAAAAAGAAYAWQEAAP0FAAAAAA==&#10;">
                <v:fill on="f" focussize="0,0"/>
                <v:stroke weight="1pt" color="#000000 [3213]" joinstyle="round"/>
                <v:imagedata o:title=""/>
                <o:lock v:ext="edit" aspectratio="f"/>
                <v:textbox>
                  <w:txbxContent>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目标岗位</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（初级工程师）</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（二级建造师）</w:t>
                      </w:r>
                    </w:p>
                    <w:p>
                      <w:pPr>
                        <w:rPr>
                          <w:rFonts w:hint="default"/>
                          <w:lang w:val="en-US" w:eastAsia="zh-CN"/>
                        </w:rPr>
                      </w:pP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281305</wp:posOffset>
                </wp:positionV>
                <wp:extent cx="1445895" cy="981710"/>
                <wp:effectExtent l="6350" t="6350" r="14605" b="21590"/>
                <wp:wrapNone/>
                <wp:docPr id="14" name="矩形 14"/>
                <wp:cNvGraphicFramePr/>
                <a:graphic xmlns:a="http://schemas.openxmlformats.org/drawingml/2006/main">
                  <a:graphicData uri="http://schemas.microsoft.com/office/word/2010/wordprocessingShape">
                    <wps:wsp>
                      <wps:cNvSpPr/>
                      <wps:spPr>
                        <a:xfrm>
                          <a:off x="1350645" y="8016240"/>
                          <a:ext cx="1445895" cy="98171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初始岗位</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（施工员、资料员等）</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施工技术</w:t>
                            </w:r>
                            <w:r>
                              <w:rPr>
                                <w:rFonts w:hint="eastAsia"/>
                                <w:color w:val="000000" w:themeColor="text1"/>
                                <w:sz w:val="21"/>
                                <w:szCs w:val="21"/>
                                <w14:textFill>
                                  <w14:solidFill>
                                    <w14:schemeClr w14:val="tx1"/>
                                  </w14:solidFill>
                                </w14:textFill>
                              </w:rPr>
                              <w:t>人员）</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pt;margin-top:22.15pt;height:77.3pt;width:113.85pt;z-index:251660288;v-text-anchor:middle;mso-width-relative:page;mso-height-relative:page;" filled="f" stroked="t" coordsize="21600,21600" o:gfxdata="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eS0w/XAAAACQEAAA8AAAAAAAAAAQAgAAAAIgAAAGRycy9kb3ducmV2&#10;LnhtbFBLAQIUABQAAAAIAIdO4kCNwTHlbwIAAM0EAAAOAAAAAAAAAAEAIAAAACYBAABkcnMvZTJv&#10;RG9jLnhtbFBLBQYAAAAABgAGAFkBAAAHBgAAAAA=&#10;">
                <v:fill on="f" focussize="0,0"/>
                <v:stroke weight="1pt" color="#000000 [3213]" joinstyle="round"/>
                <v:imagedata o:title=""/>
                <o:lock v:ext="edit" aspectratio="f"/>
                <v:textbox>
                  <w:txbxContent>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初始岗位</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（施工员、资料员等）</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施工技术</w:t>
                      </w:r>
                      <w:r>
                        <w:rPr>
                          <w:rFonts w:hint="eastAsia"/>
                          <w:color w:val="000000" w:themeColor="text1"/>
                          <w:sz w:val="21"/>
                          <w:szCs w:val="21"/>
                          <w14:textFill>
                            <w14:solidFill>
                              <w14:schemeClr w14:val="tx1"/>
                            </w14:solidFill>
                          </w14:textFill>
                        </w:rPr>
                        <w:t>人员）</w:t>
                      </w:r>
                    </w:p>
                    <w:p>
                      <w:pPr>
                        <w:rPr>
                          <w:rFonts w:hint="default"/>
                          <w:lang w:val="en-US" w:eastAsia="zh-CN"/>
                        </w:rPr>
                      </w:pP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4375785</wp:posOffset>
                </wp:positionH>
                <wp:positionV relativeFrom="paragraph">
                  <wp:posOffset>248285</wp:posOffset>
                </wp:positionV>
                <wp:extent cx="1282065" cy="1007745"/>
                <wp:effectExtent l="6350" t="6350" r="6985" b="14605"/>
                <wp:wrapNone/>
                <wp:docPr id="16" name="矩形 16"/>
                <wp:cNvGraphicFramePr/>
                <a:graphic xmlns:a="http://schemas.openxmlformats.org/drawingml/2006/main">
                  <a:graphicData uri="http://schemas.microsoft.com/office/word/2010/wordprocessingShape">
                    <wps:wsp>
                      <wps:cNvSpPr/>
                      <wps:spPr>
                        <a:xfrm>
                          <a:off x="0" y="0"/>
                          <a:ext cx="1282065" cy="100774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发展岗位</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（工程师）</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（一级建造师）</w:t>
                            </w:r>
                          </w:p>
                          <w:p>
                            <w:pPr>
                              <w:spacing w:line="360" w:lineRule="exact"/>
                              <w:jc w:val="center"/>
                              <w:rPr>
                                <w:color w:val="002060"/>
                                <w:sz w:val="21"/>
                                <w:szCs w:val="21"/>
                              </w:rPr>
                            </w:pPr>
                            <w:r>
                              <w:rPr>
                                <w:rFonts w:hint="eastAsia"/>
                                <w:color w:val="000000" w:themeColor="text1"/>
                                <w:sz w:val="21"/>
                                <w:szCs w:val="21"/>
                                <w14:textFill>
                                  <w14:solidFill>
                                    <w14:schemeClr w14:val="tx1"/>
                                  </w14:solidFill>
                                </w14:textFill>
                              </w:rPr>
                              <w:t>（注册工程师）</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4.55pt;margin-top:19.55pt;height:79.35pt;width:100.95pt;z-index:251663360;v-text-anchor:middle;mso-width-relative:page;mso-height-relative:page;" filled="f" stroked="t" coordsize="21600,21600" o:gfxdata="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EvIS/1wAAAAoBAAAPAAAAAAAAAAEAIAAAACIAAABkcnMvZG93bnJldi54bWxQSwECFAAU&#10;AAAACACHTuJABJzeuWQCAADCBAAADgAAAAAAAAABACAAAAAmAQAAZHJzL2Uyb0RvYy54bWxQSwUG&#10;AAAAAAYABgBZAQAA/AUAAAAA&#10;">
                <v:fill on="f" focussize="0,0"/>
                <v:stroke weight="1pt" color="#000000 [3213]" joinstyle="round"/>
                <v:imagedata o:title=""/>
                <o:lock v:ext="edit" aspectratio="f"/>
                <v:textbox>
                  <w:txbxContent>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发展岗位</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（工程师）</w:t>
                      </w:r>
                    </w:p>
                    <w:p>
                      <w:pPr>
                        <w:spacing w:line="360" w:lineRule="exac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（一级建造师）</w:t>
                      </w:r>
                    </w:p>
                    <w:p>
                      <w:pPr>
                        <w:spacing w:line="360" w:lineRule="exact"/>
                        <w:jc w:val="center"/>
                        <w:rPr>
                          <w:color w:val="002060"/>
                          <w:sz w:val="21"/>
                          <w:szCs w:val="21"/>
                        </w:rPr>
                      </w:pPr>
                      <w:r>
                        <w:rPr>
                          <w:rFonts w:hint="eastAsia"/>
                          <w:color w:val="000000" w:themeColor="text1"/>
                          <w:sz w:val="21"/>
                          <w:szCs w:val="21"/>
                          <w14:textFill>
                            <w14:solidFill>
                              <w14:schemeClr w14:val="tx1"/>
                            </w14:solidFill>
                          </w14:textFill>
                        </w:rPr>
                        <w:t>（注册工程师）</w:t>
                      </w:r>
                    </w:p>
                    <w:p>
                      <w:pPr>
                        <w:rPr>
                          <w:rFonts w:hint="default"/>
                          <w:lang w:val="en-US" w:eastAsia="zh-CN"/>
                        </w:rPr>
                      </w:pPr>
                    </w:p>
                  </w:txbxContent>
                </v:textbox>
              </v:rect>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1633220</wp:posOffset>
                </wp:positionH>
                <wp:positionV relativeFrom="paragraph">
                  <wp:posOffset>297815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128.6pt;margin-top:23.45pt;height:17.5pt;width:55.15pt;z-index:251664384;v-text-anchor:middle;mso-width-relative:page;mso-height-relative:page;" filled="f" stroked="t" coordsize="21600,21600" o:gfxdata="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J6rz63AAAAAkBAAAPAAAAAAAAAAEAIAAAACIAAABkcnMv&#10;ZG93bnJldi54bWxQSwECFAAUAAAACACHTuJAK1ADd3ECAADGBAAADgAAAAAAAAABACAAAAArAQAA&#10;ZHJzL2Uyb0RvYy54bWxQSwUGAAAAAAYABgBZAQAADgYAAAAA&#10;" adj="18173">
                <v:fill on="f" focussize="0,0"/>
                <v:stroke color="#000000 [3213]" joinstyle="round"/>
                <v:imagedata o:title=""/>
                <o:lock v:ext="edit" aspectratio="f"/>
              </v:shape>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287.55pt;margin-top:24.75pt;height:15.35pt;width:55.15pt;z-index:251666432;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fill on="f" focussize="0,0"/>
                <v:stroke color="#000000 [3213]" joinstyle="round"/>
                <v:imagedata o:title=""/>
                <o:lock v:ext="edit" aspectratio="f"/>
              </v:shape>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17" w:name="_Toc7860"/>
      <w:r>
        <w:rPr>
          <w:rFonts w:hint="eastAsia" w:ascii="黑体" w:hAnsi="黑体" w:eastAsia="黑体" w:cs="黑体"/>
          <w:b w:val="0"/>
          <w:bCs/>
          <w:color w:val="000000" w:themeColor="text1"/>
          <w:sz w:val="28"/>
          <w:szCs w:val="28"/>
          <w:lang w:val="en-US" w:eastAsia="zh-CN"/>
          <w14:textFill>
            <w14:solidFill>
              <w14:schemeClr w14:val="tx1"/>
            </w14:solidFill>
          </w14:textFill>
        </w:rPr>
        <w:t>五、培养目标与规格</w:t>
      </w:r>
      <w:bookmarkEnd w:id="17"/>
    </w:p>
    <w:p>
      <w:pPr>
        <w:pStyle w:val="80"/>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18" w:name="_Toc38299247"/>
      <w:bookmarkStart w:id="19" w:name="_Toc31453"/>
      <w:bookmarkStart w:id="20" w:name="_Toc38201834"/>
      <w:bookmarkStart w:id="21" w:name="_Toc38201837"/>
      <w:bookmarkStart w:id="22" w:name="_Toc38299250"/>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培养目标</w:t>
      </w:r>
      <w:bookmarkEnd w:id="18"/>
      <w:bookmarkEnd w:id="19"/>
      <w:bookmarkEnd w:id="20"/>
    </w:p>
    <w:p>
      <w:pPr>
        <w:widowControl/>
        <w:spacing w:line="480" w:lineRule="exact"/>
        <w:ind w:firstLine="560" w:firstLineChars="200"/>
        <w:jc w:val="left"/>
        <w:rPr>
          <w:rFonts w:ascii="仿宋_GB2312" w:hAnsi="仿宋_GB2312" w:eastAsia="仿宋_GB2312" w:cs="仿宋_GB2312"/>
          <w:color w:val="000000" w:themeColor="text1"/>
          <w:kern w:val="0"/>
          <w:sz w:val="28"/>
          <w:szCs w:val="28"/>
          <w14:textFill>
            <w14:solidFill>
              <w14:schemeClr w14:val="tx1"/>
            </w14:solidFill>
          </w14:textFill>
        </w:rPr>
      </w:pPr>
      <w:bookmarkStart w:id="23" w:name="_Toc38299248"/>
      <w:bookmarkStart w:id="24" w:name="_Toc20435"/>
      <w:bookmarkStart w:id="25" w:name="_Toc38201835"/>
      <w:r>
        <w:rPr>
          <w:rFonts w:hint="eastAsia" w:ascii="仿宋_GB2312" w:hAnsi="仿宋_GB2312" w:eastAsia="仿宋_GB2312" w:cs="仿宋_GB2312"/>
          <w:color w:val="000000" w:themeColor="text1"/>
          <w:kern w:val="0"/>
          <w:sz w:val="28"/>
          <w:szCs w:val="28"/>
          <w14:textFill>
            <w14:solidFill>
              <w14:schemeClr w14:val="tx1"/>
            </w14:solidFill>
          </w14:textFill>
        </w:rPr>
        <w:t>本专业培养理想信念坚定，德、智、体、美、劳全面发展，具有一定的科学文化水平，良好的人文素养、职业道德和创新精神，精益求精的工匠精神，较强的就业能力和可持续发展的能力，掌握本专业知识和技术技能，面向土木工程建筑业、建筑安装业等行业的建筑工程技术人员、安全工程技术人员和质量管理工程技术人员等职业群，能够从事市政工程施工与管理和市政公用设施维护管理等工作，具有职业发展能力的高素质技术技能人才。</w:t>
      </w:r>
    </w:p>
    <w:p>
      <w:pPr>
        <w:pStyle w:val="80"/>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lang w:val="en-US" w:eastAsia="zh-CN"/>
          <w14:textFill>
            <w14:solidFill>
              <w14:schemeClr w14:val="tx1"/>
            </w14:solidFill>
          </w14:textFill>
        </w:rPr>
        <w:t>二</w:t>
      </w:r>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14:textFill>
            <w14:solidFill>
              <w14:schemeClr w14:val="tx1"/>
            </w14:solidFill>
          </w14:textFill>
        </w:rPr>
        <w:t>培养规格</w:t>
      </w:r>
      <w:bookmarkEnd w:id="23"/>
      <w:bookmarkEnd w:id="24"/>
      <w:bookmarkEnd w:id="25"/>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本专业毕业生应在素质、知识和能力等方面达到以下要求。</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基本素质</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（1）政治思想素质：</w:t>
      </w:r>
      <w:r>
        <w:rPr>
          <w:rFonts w:hint="eastAsia" w:ascii="仿宋_GB2312" w:hAnsi="仿宋_GB2312" w:eastAsia="仿宋_GB2312" w:cs="仿宋_GB2312"/>
          <w:color w:val="000000" w:themeColor="text1"/>
          <w:sz w:val="28"/>
          <w:szCs w:val="28"/>
          <w14:textFill>
            <w14:solidFill>
              <w14:schemeClr w14:val="tx1"/>
            </w14:solidFill>
          </w14:textFill>
        </w:rPr>
        <w:t>坚定拥护中国共产党领导和我国社会主义制度，在习近平新时代中国特色社会主义思想指引下，践行社会主义核心价值观，具有深厚的爱国情感和中华民族自豪感。崇尚宪法、遵法守纪、崇德向善、诚实守信、尊重生命、热爱劳动，履行道德准则和行为规范，具有社会责任感和社会参与意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（2）文化素质：</w:t>
      </w:r>
      <w:r>
        <w:rPr>
          <w:rFonts w:hint="eastAsia" w:ascii="仿宋_GB2312" w:hAnsi="仿宋_GB2312" w:eastAsia="仿宋_GB2312" w:cs="仿宋_GB2312"/>
          <w:color w:val="000000" w:themeColor="text1"/>
          <w:sz w:val="28"/>
          <w:szCs w:val="28"/>
          <w14:textFill>
            <w14:solidFill>
              <w14:schemeClr w14:val="tx1"/>
            </w14:solidFill>
          </w14:textFill>
        </w:rPr>
        <w:t>具有较为宽阔的视野，文理交融。具有一定的科学思维和科学探索精神，具备一定的文化素养和文学功底，具备健康、高雅的审美情趣和正确的审美观点、较强的审美能力。</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（3）身体和心理素质：</w:t>
      </w:r>
      <w:r>
        <w:rPr>
          <w:rFonts w:hint="eastAsia" w:ascii="仿宋_GB2312" w:hAnsi="仿宋_GB2312" w:eastAsia="仿宋_GB2312" w:cs="仿宋_GB2312"/>
          <w:color w:val="000000" w:themeColor="text1"/>
          <w:sz w:val="28"/>
          <w:szCs w:val="28"/>
          <w14:textFill>
            <w14:solidFill>
              <w14:schemeClr w14:val="tx1"/>
            </w14:solidFill>
          </w14:textFill>
        </w:rPr>
        <w:t>具有健康的体魄、心理和健全的人格，掌握基本运动知识和1-2项运动技能，养成良好的健身与卫生习惯，以及良好的行为习惯。</w:t>
      </w:r>
    </w:p>
    <w:p>
      <w:pPr>
        <w:snapToGrid w:val="0"/>
        <w:spacing w:line="480" w:lineRule="exact"/>
        <w:ind w:firstLine="560"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（4）专业素质：</w:t>
      </w:r>
      <w:r>
        <w:rPr>
          <w:rFonts w:hint="eastAsia" w:ascii="仿宋_GB2312" w:hAnsi="仿宋_GB2312" w:eastAsia="仿宋_GB2312" w:cs="仿宋_GB2312"/>
          <w:color w:val="000000" w:themeColor="text1"/>
          <w:sz w:val="28"/>
          <w:szCs w:val="28"/>
          <w14:textFill>
            <w14:solidFill>
              <w14:schemeClr w14:val="tx1"/>
            </w14:solidFill>
          </w14:textFill>
        </w:rPr>
        <w:t>具有良好的职业道德和敬业精神，做到吃苦耐劳、踏实肯干。树立诚实守信意识和责任意识，有良好的社会责任感和使命感。能够严格遵守职业规范及操作规程，具有较强的安全和环保意识。</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2.知识要求</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（1）掌握必备的思想政治理论、科学文化基础知识和中华优秀传统文化知识。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（2）熟悉与本专业相关的法律法规以及环境保护、安全消防等知识。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（3）掌握计算机应用的基础知识。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（4）掌握市政工程施工图识读与绘制的基本知识。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（5）掌握市政工程测量放样的基本知识。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（6）掌握市政工程力学与结构的基本知识。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（7）掌握市政公用设施建设管理和维护的基本知识。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（8）掌握市政工程施工的基本知识。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（9）掌握建筑工程材料、计量计价的基本知识。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（10）掌握市政工程资料编制归档的基本知识。</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3.能力要求</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（1）具有探究学习、终身学习、分析问题和解决问题的能力。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（2）具有良好的语言、文字表达能力和沟通能力。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（3）具有熟练操作计算机的能力。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（4）具有正确识读和绘制市政工程施工图的能力。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（5）具有市政工程测量放样的能力。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（6）具有市政工程计量计价、成本控制的能力。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（7）具有市政公用设施运行管理与维护的能力。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（8）具有编制市政工程施工组织设计及施工管理的能力。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（9）具有应用市政工程施工技术规范指导现场施工的能力。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（10）具有市政工程竣工验收资料编制与归档能力。</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（11）具有市政工程质量评定与检验的能力。</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bookmarkStart w:id="26" w:name="_Toc9617"/>
      <w:r>
        <w:rPr>
          <w:rFonts w:hint="eastAsia" w:ascii="仿宋_GB2312" w:hAnsi="仿宋_GB2312" w:eastAsia="仿宋_GB2312" w:cs="仿宋_GB2312"/>
          <w:b/>
          <w:color w:val="000000" w:themeColor="text1"/>
          <w:sz w:val="28"/>
          <w:szCs w:val="28"/>
          <w14:textFill>
            <w14:solidFill>
              <w14:schemeClr w14:val="tx1"/>
            </w14:solidFill>
          </w14:textFill>
        </w:rPr>
        <w:t>4.职业态度</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（1）职业道德：增强学生的诚信品质、敬业精神、责任意识和遵纪守法意识，不谋私利、公道正派、廉洁自律、坚持原则。</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职业行为：严格执行市政工程相关标准、工作程序与规范、工艺文件和安全操作规程。学习新知识、新技能，勇于实践、开拓和创新。能正确择业与就业、尊重师长、团结互助、吃苦耐劳、热爱集体、着装整洁、文明生产。</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1"/>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lang w:val="en-US" w:eastAsia="zh-CN"/>
          <w14:textFill>
            <w14:solidFill>
              <w14:schemeClr w14:val="tx1"/>
            </w14:solidFill>
          </w14:textFill>
        </w:rPr>
        <w:t>三</w:t>
      </w:r>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14:textFill>
            <w14:solidFill>
              <w14:schemeClr w14:val="tx1"/>
            </w14:solidFill>
          </w14:textFill>
        </w:rPr>
        <w:t>创新创业能力的培养</w:t>
      </w:r>
      <w:bookmarkEnd w:id="26"/>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改革教育</w:t>
      </w:r>
      <w:r>
        <w:rPr>
          <w:rFonts w:hint="eastAsia" w:ascii="仿宋_GB2312" w:hAnsi="仿宋_GB2312" w:eastAsia="仿宋_GB2312" w:cs="仿宋_GB2312"/>
          <w:color w:val="000000" w:themeColor="text1"/>
          <w:sz w:val="28"/>
          <w:szCs w:val="28"/>
          <w:lang w:eastAsia="zh-CN"/>
          <w14:textFill>
            <w14:solidFill>
              <w14:schemeClr w14:val="tx1"/>
            </w14:solidFill>
          </w14:textFill>
        </w:rPr>
        <w:t>理念，</w:t>
      </w:r>
      <w:r>
        <w:rPr>
          <w:rFonts w:hint="eastAsia" w:ascii="仿宋_GB2312" w:hAnsi="仿宋_GB2312" w:eastAsia="仿宋_GB2312" w:cs="仿宋_GB2312"/>
          <w:color w:val="000000" w:themeColor="text1"/>
          <w:sz w:val="28"/>
          <w:szCs w:val="28"/>
          <w14:textFill>
            <w14:solidFill>
              <w14:schemeClr w14:val="tx1"/>
            </w14:solidFill>
          </w14:textFill>
        </w:rPr>
        <w:t>实现由就业型人才培养目标向创业型人才培养目标的转变。改</w:t>
      </w:r>
      <w:r>
        <w:rPr>
          <w:rFonts w:hint="eastAsia" w:ascii="仿宋_GB2312" w:hAnsi="仿宋_GB2312" w:eastAsia="仿宋_GB2312" w:cs="仿宋_GB2312"/>
          <w:color w:val="000000" w:themeColor="text1"/>
          <w:sz w:val="28"/>
          <w:szCs w:val="28"/>
          <w:lang w:eastAsia="zh-CN"/>
          <w14:textFill>
            <w14:solidFill>
              <w14:schemeClr w14:val="tx1"/>
            </w14:solidFill>
          </w14:textFill>
        </w:rPr>
        <w:t>进</w:t>
      </w:r>
      <w:r>
        <w:rPr>
          <w:rFonts w:hint="eastAsia" w:ascii="仿宋_GB2312" w:hAnsi="仿宋_GB2312" w:eastAsia="仿宋_GB2312" w:cs="仿宋_GB2312"/>
          <w:color w:val="000000" w:themeColor="text1"/>
          <w:sz w:val="28"/>
          <w:szCs w:val="28"/>
          <w14:textFill>
            <w14:solidFill>
              <w14:schemeClr w14:val="tx1"/>
            </w14:solidFill>
          </w14:textFill>
        </w:rPr>
        <w:t>教学方法，从以传授知识为中心转变为以培养学生创新能力为中心，以人为本，构建创新人才培养的教育模式。</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组织各类竞赛及学术讲座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协调大学生的个性发展，促进大学生在创新创业方面得以充分发挥个人才能。</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pStyle w:val="35"/>
        <w:keepNext w:val="0"/>
        <w:keepLines w:val="0"/>
        <w:pageBreakBefore w:val="0"/>
        <w:widowControl w:val="0"/>
        <w:kinsoku/>
        <w:wordWrap/>
        <w:overflowPunct/>
        <w:topLinePunct w:val="0"/>
        <w:autoSpaceDE/>
        <w:autoSpaceDN/>
        <w:bidi w:val="0"/>
        <w:adjustRightInd/>
        <w:snapToGrid w:val="0"/>
        <w:spacing w:line="520" w:lineRule="exact"/>
        <w:ind w:left="319" w:leftChars="152" w:firstLine="281" w:firstLineChars="100"/>
        <w:textAlignment w:val="auto"/>
        <w:outlineLvl w:val="0"/>
        <w:rPr>
          <w:rFonts w:hint="eastAsia" w:ascii="黑体" w:hAnsi="黑体" w:eastAsia="黑体" w:cs="黑体"/>
          <w:color w:val="000000" w:themeColor="text1"/>
          <w:sz w:val="28"/>
          <w:szCs w:val="28"/>
          <w14:textFill>
            <w14:solidFill>
              <w14:schemeClr w14:val="tx1"/>
            </w14:solidFill>
          </w14:textFill>
        </w:rPr>
      </w:pPr>
      <w:bookmarkStart w:id="27" w:name="_Toc13220"/>
      <w:r>
        <w:rPr>
          <w:rFonts w:hint="eastAsia" w:ascii="黑体" w:hAnsi="黑体" w:eastAsia="黑体" w:cs="黑体"/>
          <w:color w:val="000000" w:themeColor="text1"/>
          <w:sz w:val="28"/>
          <w:szCs w:val="28"/>
          <w:lang w:val="en-US" w:eastAsia="zh-CN"/>
          <w14:textFill>
            <w14:solidFill>
              <w14:schemeClr w14:val="tx1"/>
            </w14:solidFill>
          </w14:textFill>
        </w:rPr>
        <w:t>六、</w:t>
      </w:r>
      <w:r>
        <w:rPr>
          <w:rFonts w:hint="eastAsia" w:ascii="黑体" w:hAnsi="黑体" w:eastAsia="黑体" w:cs="黑体"/>
          <w:color w:val="000000" w:themeColor="text1"/>
          <w:sz w:val="28"/>
          <w:szCs w:val="28"/>
          <w14:textFill>
            <w14:solidFill>
              <w14:schemeClr w14:val="tx1"/>
            </w14:solidFill>
          </w14:textFill>
        </w:rPr>
        <w:t>课程设置及要求</w:t>
      </w:r>
      <w:bookmarkEnd w:id="21"/>
      <w:bookmarkEnd w:id="22"/>
      <w:bookmarkEnd w:id="27"/>
      <w:r>
        <w:rPr>
          <w:rFonts w:hint="eastAsia" w:ascii="黑体" w:hAnsi="黑体" w:eastAsia="黑体" w:cs="黑体"/>
          <w:color w:val="000000" w:themeColor="text1"/>
          <w:sz w:val="28"/>
          <w:szCs w:val="28"/>
          <w14:textFill>
            <w14:solidFill>
              <w14:schemeClr w14:val="tx1"/>
            </w14:solidFill>
          </w14:textFill>
        </w:rPr>
        <w:t xml:space="preserve"> </w:t>
      </w:r>
    </w:p>
    <w:p>
      <w:pPr>
        <w:pStyle w:val="80"/>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28" w:name="_Toc38299251"/>
      <w:bookmarkStart w:id="29" w:name="_Toc29687"/>
      <w:bookmarkStart w:id="30" w:name="_Toc38201838"/>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本专业公共基础课设置</w:t>
      </w:r>
      <w:bookmarkEnd w:id="28"/>
      <w:bookmarkEnd w:id="29"/>
      <w:bookmarkEnd w:id="30"/>
    </w:p>
    <w:tbl>
      <w:tblPr>
        <w:tblStyle w:val="27"/>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课程名称</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课程目标</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color w:val="404040"/>
                <w:szCs w:val="21"/>
                <w:shd w:val="clear" w:color="000000" w:fill="FFFFFF"/>
                <w:lang w:val="en-US" w:eastAsia="zh-CN"/>
              </w:rPr>
              <w:t>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形势与政策</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帮助大学生正确认识新时代国内外形势，深刻领会党的十八大以来党和国家事业取得的历史性成就、发生的历史性变革、面临的历史性机遇和挑战。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404040"/>
                <w:szCs w:val="21"/>
                <w:shd w:val="clear" w:color="000000" w:fill="FFFFFF"/>
                <w:lang w:val="en-US" w:eastAsia="zh-CN"/>
              </w:rPr>
              <w:t>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rPr>
              <w:t>军训</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大学生军训课程使每名同学掌握单个军人队列动作要领。养成良好的素质和优良作风。课程内容包括: 1</w:t>
            </w:r>
            <w:r>
              <w:rPr>
                <w:rFonts w:hint="eastAsia" w:ascii="宋体" w:hAnsi="宋体" w:eastAsia="宋体" w:cs="宋体"/>
                <w:szCs w:val="21"/>
                <w:lang w:val="en-US" w:eastAsia="zh-CN"/>
              </w:rPr>
              <w:t>.</w:t>
            </w:r>
            <w:r>
              <w:rPr>
                <w:rFonts w:hint="eastAsia" w:ascii="宋体" w:hAnsi="宋体" w:eastAsia="宋体" w:cs="宋体"/>
                <w:szCs w:val="21"/>
              </w:rPr>
              <w:t>单个军人队列动作（立正、稍息、跨立；停止间转法；行进与立定；步法变换；坐下，蹲下，起立）。2</w:t>
            </w:r>
            <w:r>
              <w:rPr>
                <w:rFonts w:hint="eastAsia" w:ascii="宋体" w:hAnsi="宋体" w:eastAsia="宋体" w:cs="宋体"/>
                <w:szCs w:val="21"/>
                <w:lang w:val="en-US" w:eastAsia="zh-CN"/>
              </w:rPr>
              <w:t>.</w:t>
            </w:r>
            <w:r>
              <w:rPr>
                <w:rFonts w:hint="eastAsia" w:ascii="宋体" w:hAnsi="宋体" w:eastAsia="宋体" w:cs="宋体"/>
                <w:szCs w:val="21"/>
              </w:rPr>
              <w:t>整理内务卫生。3</w:t>
            </w:r>
            <w:r>
              <w:rPr>
                <w:rFonts w:hint="eastAsia" w:ascii="宋体" w:hAnsi="宋体" w:eastAsia="宋体" w:cs="宋体"/>
                <w:szCs w:val="21"/>
                <w:lang w:val="en-US" w:eastAsia="zh-CN"/>
              </w:rPr>
              <w:t>.</w:t>
            </w:r>
            <w:r>
              <w:rPr>
                <w:rFonts w:hint="eastAsia" w:ascii="宋体" w:hAnsi="宋体" w:eastAsia="宋体" w:cs="宋体"/>
                <w:szCs w:val="21"/>
              </w:rPr>
              <w:t>紧急集合和疏散4</w:t>
            </w:r>
            <w:r>
              <w:rPr>
                <w:rFonts w:hint="eastAsia" w:ascii="宋体" w:hAnsi="宋体" w:eastAsia="宋体" w:cs="宋体"/>
                <w:szCs w:val="21"/>
                <w:lang w:val="en-US" w:eastAsia="zh-CN"/>
              </w:rPr>
              <w:t>.</w:t>
            </w:r>
            <w:r>
              <w:rPr>
                <w:rFonts w:hint="eastAsia" w:ascii="宋体" w:hAnsi="宋体" w:eastAsia="宋体" w:cs="宋体"/>
                <w:szCs w:val="21"/>
              </w:rPr>
              <w:t>红歌学唱。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军事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szCs w:val="21"/>
                <w:lang w:eastAsia="zh-CN"/>
              </w:rPr>
              <w:t>理论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w:t>
            </w:r>
            <w:r>
              <w:rPr>
                <w:rFonts w:hint="eastAsia" w:ascii="宋体" w:hAnsi="宋体" w:eastAsia="宋体" w:cs="宋体"/>
                <w:color w:val="auto"/>
                <w:szCs w:val="21"/>
                <w:lang w:val="en-US" w:eastAsia="zh-CN"/>
              </w:rPr>
              <w:t>理论</w:t>
            </w:r>
            <w:r>
              <w:rPr>
                <w:rFonts w:hint="eastAsia" w:ascii="宋体" w:hAnsi="宋体" w:eastAsia="宋体" w:cs="宋体"/>
                <w:color w:val="auto"/>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劳动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w:t>
            </w:r>
            <w:r>
              <w:rPr>
                <w:rFonts w:hint="eastAsia" w:ascii="宋体" w:hAnsi="宋体" w:eastAsia="宋体" w:cs="宋体"/>
                <w:szCs w:val="21"/>
                <w:lang w:eastAsia="zh-CN"/>
              </w:rPr>
              <w:t>、</w:t>
            </w:r>
            <w:r>
              <w:rPr>
                <w:rFonts w:hint="eastAsia" w:ascii="宋体" w:hAnsi="宋体" w:eastAsia="宋体" w:cs="宋体"/>
                <w:szCs w:val="21"/>
              </w:rPr>
              <w:t>劳动不分贵贱，热爱劳动，尊重普通劳动者，培养勤俭、奋斗、创新、奉献的劳动精神；具备满足生存发展需要的基本劳动能力，形成良好的劳动习惯。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思想</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Cs w:val="21"/>
                <w:lang w:bidi="ar"/>
              </w:rPr>
              <w:t>道德与法治</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CN" w:bidi="ar-SA"/>
              </w:rPr>
            </w:pPr>
            <w:r>
              <w:rPr>
                <w:rFonts w:hint="eastAsia" w:ascii="宋体" w:hAnsi="宋体" w:eastAsia="宋体" w:cs="宋体"/>
                <w:szCs w:val="21"/>
              </w:rPr>
              <w:t>围绕职业岗位和社会的需要，结合学生情感、意志、能力形成过程，帮助大学生树立正确的人生观、价值观、道德观和法制观</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思想政治理论课实践教学</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lang w:val="en-US" w:eastAsia="zh-CN"/>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lang w:val="en-US" w:eastAsia="zh-CN"/>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铸牢中华民族共同体意识</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eastAsia="zh-CN"/>
              </w:rPr>
              <w:t>毛泽东思想和中国特色社会主义理论体系概论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学会运用马克思主义立场、观点、方法解决现实生活的基本问题。掌握科学地认识和分析复杂的社会现象的能力，运用建设中国特色社会主义理论和党的方针政策，对我国经济、政治和社会发展现状</w:t>
            </w:r>
            <w:r>
              <w:rPr>
                <w:rFonts w:hint="eastAsia" w:ascii="宋体" w:hAnsi="宋体" w:eastAsia="宋体" w:cs="宋体"/>
                <w:szCs w:val="21"/>
                <w:lang w:val="en-US" w:eastAsia="zh-CN"/>
              </w:rPr>
              <w:t>等</w:t>
            </w:r>
            <w:r>
              <w:rPr>
                <w:rFonts w:hint="eastAsia" w:ascii="宋体" w:hAnsi="宋体" w:eastAsia="宋体" w:cs="宋体"/>
                <w:szCs w:val="21"/>
              </w:rPr>
              <w:t>社会现实问题，具</w:t>
            </w:r>
            <w:r>
              <w:rPr>
                <w:rFonts w:hint="eastAsia" w:ascii="宋体" w:hAnsi="宋体" w:eastAsia="宋体" w:cs="宋体"/>
                <w:szCs w:val="21"/>
                <w:lang w:val="en-US" w:eastAsia="zh-CN"/>
              </w:rPr>
              <w:t>备</w:t>
            </w:r>
            <w:r>
              <w:rPr>
                <w:rFonts w:hint="eastAsia" w:ascii="宋体" w:hAnsi="宋体" w:eastAsia="宋体" w:cs="宋体"/>
                <w:szCs w:val="21"/>
              </w:rPr>
              <w:t>初步分析、判断能力。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学习中国共产党把马克思主义基本原理与中国实际相结合的历史进程，充分反映马克思主义中国化的理论成果。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kern w:val="2"/>
                <w:sz w:val="21"/>
                <w:szCs w:val="21"/>
                <w:shd w:val="clear" w:color="000000" w:fill="FFFFFF"/>
                <w:lang w:val="en-US" w:eastAsia="zh-CN" w:bidi="ar-SA"/>
              </w:rPr>
              <w:t>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习近平新时代中国特色社会主义</w:t>
            </w:r>
            <w:r>
              <w:rPr>
                <w:rFonts w:hint="eastAsia" w:ascii="宋体" w:hAnsi="宋体" w:eastAsia="宋体" w:cs="宋体"/>
                <w:szCs w:val="21"/>
                <w:lang w:val="en-US" w:eastAsia="zh-CN"/>
              </w:rPr>
              <w:t>思想概论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en-US" w:eastAsia="zh-CN" w:bidi="ar-SA"/>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en-US" w:eastAsia="zh-CN" w:bidi="ar-SA"/>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10</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职业发展与就业指导</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就业形势、就业政策、求职技巧、就业信息等方面内容。模拟面试演练可作为学生考评之一。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高职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英语</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1"/>
                <w:szCs w:val="21"/>
                <w:lang w:val="en-US" w:eastAsia="zh-CN" w:bidi="ar-SA"/>
              </w:rPr>
            </w:pP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高职英语的教学内容与学生的专业和生活实际紧密联系，主要围绕交通运输、职业生涯、日常生活、饮食、学习、数字时代、时尚与美</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世界文化</w:t>
            </w:r>
            <w:r>
              <w:rPr>
                <w:rFonts w:hint="eastAsia" w:ascii="宋体" w:hAnsi="宋体" w:eastAsia="宋体" w:cs="宋体"/>
                <w:color w:val="auto"/>
                <w:szCs w:val="21"/>
              </w:rPr>
              <w:t>等方面，着重培养学生的听说能力，兼顾阅读理解、写作和语法等方面，培养学生对英语的综合运用能力。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信息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技术</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本课程是一门计算机入门课程，是为非计算机专业类学生提供计算机一般应用所必需的基础知识、能力和素质的课程，内容丰富，与时俱进，实用性强。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本课程包括操作系统、文字处理软件、电子表格、演示文稿、人工智能、大数据、常用剪辑软件等现代办公常用信息技术。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高职实用语文</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CN" w:bidi="ar-SA"/>
              </w:rPr>
            </w:pPr>
            <w:r>
              <w:rPr>
                <w:rFonts w:hint="eastAsia" w:ascii="宋体" w:hAnsi="宋体" w:eastAsia="宋体" w:cs="宋体"/>
                <w:szCs w:val="21"/>
              </w:rPr>
              <w:t>普及文学常识及中国</w:t>
            </w:r>
            <w:r>
              <w:rPr>
                <w:rFonts w:hint="eastAsia" w:ascii="宋体" w:hAnsi="宋体" w:eastAsia="宋体" w:cs="宋体"/>
                <w:szCs w:val="21"/>
                <w:lang w:val="en-US" w:eastAsia="zh-CN"/>
              </w:rPr>
              <w:t>传统</w:t>
            </w:r>
            <w:r>
              <w:rPr>
                <w:rFonts w:hint="eastAsia" w:ascii="宋体" w:hAnsi="宋体" w:eastAsia="宋体" w:cs="宋体"/>
                <w:szCs w:val="21"/>
              </w:rPr>
              <w:t>文化思想，提高人文素养</w:t>
            </w:r>
            <w:r>
              <w:rPr>
                <w:rFonts w:hint="eastAsia" w:ascii="宋体" w:hAnsi="宋体" w:eastAsia="宋体" w:cs="宋体"/>
                <w:szCs w:val="21"/>
                <w:lang w:eastAsia="zh-CN"/>
              </w:rPr>
              <w:t>。</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高职实用语文主要教学内容：主要作家、作品、经典篇章、文学史知识。</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要求：对文学史发展有比较清晰地概念，对重要作家作品有基本的了解，能够具备一定的文学知识储备和文化素养。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体育与健康</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紧扣课程的主要目标，实现健身性、实效性、科学性、人文性、职业准备性的有机统一。以“健康第一”的指导思想作为确定课程内容的基本出发点，以身体练习作为体育课程的主要载体，体育理论知识为辅，</w:t>
            </w:r>
            <w:r>
              <w:rPr>
                <w:rFonts w:hint="eastAsia" w:ascii="宋体" w:hAnsi="宋体" w:eastAsia="宋体" w:cs="宋体"/>
                <w:color w:val="auto"/>
                <w:szCs w:val="21"/>
                <w:lang w:val="en-US" w:eastAsia="zh-CN"/>
              </w:rPr>
              <w:t>具备一定的</w:t>
            </w:r>
            <w:r>
              <w:rPr>
                <w:rFonts w:hint="eastAsia" w:ascii="宋体" w:hAnsi="宋体" w:eastAsia="宋体" w:cs="宋体"/>
                <w:color w:val="auto"/>
                <w:szCs w:val="21"/>
              </w:rPr>
              <w:t>篮球、足球</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基本技术和理论知识。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rPr>
              <w:t>高</w:t>
            </w:r>
            <w:r>
              <w:rPr>
                <w:rFonts w:hint="eastAsia" w:ascii="宋体" w:hAnsi="宋体" w:eastAsia="宋体" w:cs="宋体"/>
                <w:szCs w:val="21"/>
                <w:lang w:eastAsia="zh-CN"/>
              </w:rPr>
              <w:t>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数学</w:t>
            </w:r>
          </w:p>
        </w:tc>
        <w:tc>
          <w:tcPr>
            <w:tcW w:w="3834"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心理健康</w:t>
            </w:r>
            <w:r>
              <w:rPr>
                <w:rFonts w:hint="eastAsia" w:ascii="宋体" w:hAnsi="宋体" w:eastAsia="宋体" w:cs="宋体"/>
                <w:szCs w:val="21"/>
                <w:lang w:eastAsia="zh-CN"/>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主要围绕适应能力、心理与心理健康、自我认识、网络与学习、人际交往、恋爱心理、情绪管理等内容开展专题教学活动。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大学生安全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通过学习，使学生了解国家法律法规，学校安全规章和制度，掌握安全知识与防范技能，从而提高学生的安全防范意识和自我保护能力。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主要围绕安全常识、人身安全、财产安全、网络安全、遵纪守法预防犯罪、交通安全、消防安全、自然灾害安全、国家安全等内容学习。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kern w:val="2"/>
                <w:sz w:val="21"/>
                <w:szCs w:val="21"/>
                <w:shd w:val="clear" w:color="000000" w:fill="FFFFFF"/>
                <w:lang w:val="en-US" w:eastAsia="zh-CN" w:bidi="ar-SA"/>
              </w:rPr>
              <w:t>18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创新与创业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能够进行创业机会</w:t>
            </w:r>
            <w:r>
              <w:rPr>
                <w:rFonts w:hint="eastAsia" w:ascii="宋体" w:hAnsi="宋体" w:eastAsia="宋体" w:cs="宋体"/>
                <w:szCs w:val="21"/>
                <w:lang w:val="en-US" w:eastAsia="zh-CN"/>
              </w:rPr>
              <w:t>识</w:t>
            </w:r>
            <w:r>
              <w:rPr>
                <w:rFonts w:hint="eastAsia" w:ascii="宋体" w:hAnsi="宋体" w:eastAsia="宋体" w:cs="宋体"/>
                <w:szCs w:val="21"/>
              </w:rPr>
              <w:t>别和分析，树立科学的创新创业观，激发学生的创新创业意识，提高学生的社会责任感和创业精神，促进学生创业、就业全面发展。</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训练创新思维，打造创业团队，识别创业机会，整合创业资源，设计商业模式，创业计划与路演展示等。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2"/>
                <w:sz w:val="21"/>
                <w:szCs w:val="21"/>
                <w:shd w:val="clear" w:color="000000" w:fill="FFFFFF"/>
                <w:lang w:val="en-US" w:eastAsia="zh-CN" w:bidi="ar-SA"/>
              </w:rPr>
            </w:pPr>
            <w:r>
              <w:rPr>
                <w:rFonts w:hint="eastAsia" w:ascii="宋体" w:hAnsi="宋体" w:eastAsia="宋体" w:cs="宋体"/>
                <w:kern w:val="2"/>
                <w:sz w:val="21"/>
                <w:szCs w:val="21"/>
                <w:shd w:val="clear" w:color="000000" w:fill="FFFFFF"/>
                <w:lang w:val="en-US" w:eastAsia="zh-CN" w:bidi="ar-SA"/>
              </w:rPr>
              <w:t>19</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“四史”教育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80"/>
        <w:outlineLvl w:val="9"/>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31" w:name="_Toc38299252"/>
      <w:bookmarkStart w:id="32" w:name="_Toc27140"/>
      <w:bookmarkStart w:id="33" w:name="_Toc38201839"/>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专业</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技能</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课设置</w:t>
      </w:r>
      <w:bookmarkEnd w:id="31"/>
      <w:bookmarkEnd w:id="32"/>
      <w:bookmarkEnd w:id="33"/>
    </w:p>
    <w:tbl>
      <w:tblPr>
        <w:tblStyle w:val="27"/>
        <w:tblW w:w="961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20"/>
        <w:gridCol w:w="4171"/>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bookmarkStart w:id="34" w:name="_Toc38201840"/>
            <w:bookmarkStart w:id="35" w:name="_Toc38299253"/>
            <w:r>
              <w:rPr>
                <w:rFonts w:hint="eastAsia" w:ascii="宋体" w:hAnsi="宋体" w:eastAsia="宋体" w:cs="宋体"/>
                <w:color w:val="000000" w:themeColor="text1"/>
                <w:szCs w:val="21"/>
                <w14:textFill>
                  <w14:solidFill>
                    <w14:schemeClr w14:val="tx1"/>
                  </w14:solidFill>
                </w14:textFill>
              </w:rPr>
              <w:t>序号</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课程名称</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课程目标</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02" w:type="dxa"/>
            <w:tcBorders>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工程制图</w:t>
            </w:r>
          </w:p>
        </w:tc>
        <w:tc>
          <w:tcPr>
            <w:tcW w:w="4171" w:type="dxa"/>
            <w:tcBorders>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培养绘制和阅读建筑工程图的能力</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培养一定的空间思维能力、空间分析能力和空间几何问题的图解能力</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培养计算机绘图的初步能力</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培养认真负责的工作态度和严谨细致的工作作风。</w:t>
            </w:r>
          </w:p>
        </w:tc>
        <w:tc>
          <w:tcPr>
            <w:tcW w:w="4021" w:type="dxa"/>
            <w:tcBorders>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学习制图统一标准、基本制图方法、三视图的识读与绘制、轴测图的识读与绘制以及建筑施工图、结构施工图、电气施工图、给排水工程施工图、道路桥梁工程、隧道涵洞等工程的识读与绘图</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工程力学</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培养学生具有初步对工程问题的简化能力，一定的力学分析与计算能力，是学习有关后续课程和从事专业技术工作的基础。</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熟练掌握静力学的基本知识;掌握静定结构的内力计算;掌握基本杆件的强度、刚度、稳定性计算;通过观察，了解力学实验的基本过程。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CAD制图</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掌握CAD绘制建筑图的基本原理、方法及步骤，掌握CAD中文版的基本操作及用CAD绘制、标注、打印建筑图形的方法与技巧；结合建筑工程设计有关的基础知识、国家和行业的设计与制图规范，准确熟练的绘制建筑总图、平面图、立面图、剖面图及详图</w:t>
            </w:r>
            <w:r>
              <w:rPr>
                <w:rFonts w:hint="eastAsia" w:ascii="宋体" w:hAnsi="宋体" w:eastAsia="宋体" w:cs="宋体"/>
                <w:color w:val="000000" w:themeColor="text1"/>
                <w:szCs w:val="21"/>
                <w:lang w:eastAsia="zh-CN"/>
                <w14:textFill>
                  <w14:solidFill>
                    <w14:schemeClr w14:val="tx1"/>
                  </w14:solidFill>
                </w14:textFill>
              </w:rPr>
              <w:t>。</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CAD操作基础与设置；平面图形的绘制与编辑；图形输出；专业工程图的绘制与编辑；三维图形的绘制与编辑</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工程测量</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掌握常规测量仪器的组成、使用、检验与一般校正</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掌握高程、角度和距离的基本测量方法和放样方法，了解误差基本知识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能根据建筑施工特点正确选用测量仪器和测量方法</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能正确识读地形图，具有使用地形图取得地形资料和有关数据的初步能力</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初步了解现代测绘新仪器和新技术的应用。</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测量学的基本知识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常用测量仪器的构造和具体使用方法</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常用测量仪器在工程实践中的具体应用。</w:t>
            </w:r>
          </w:p>
          <w:p>
            <w:pPr>
              <w:snapToGrid w:val="0"/>
              <w:ind w:firstLine="420" w:firstLineChars="200"/>
              <w:jc w:val="left"/>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602"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工程材料</w:t>
            </w:r>
          </w:p>
        </w:tc>
        <w:tc>
          <w:tcPr>
            <w:tcW w:w="417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掌握土木工程常用材料的基本组成、技术性质、质量检验、应用技术等基本理论和基础知识。为将来在土木工程实践中正确选择和合理使用建筑材料打下基础；为后续专业课程提供建筑材料的基础理论知识。</w:t>
            </w:r>
          </w:p>
        </w:tc>
        <w:tc>
          <w:tcPr>
            <w:tcW w:w="4021" w:type="dxa"/>
            <w:tcBorders>
              <w:top w:val="single" w:color="auto" w:sz="4" w:space="0"/>
              <w:left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建筑材料基本性质、无机气硬性胶凝材料、水泥、混凝土、砂浆、建筑钢材、防水材料、墙体材料和屋面材料、合成高分子材料、建筑装饰材料、隔热保温材料和吸声材料等</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02"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6</w:t>
            </w:r>
          </w:p>
        </w:tc>
        <w:tc>
          <w:tcPr>
            <w:tcW w:w="820" w:type="dxa"/>
            <w:tcBorders>
              <w:top w:val="single" w:color="auto" w:sz="4" w:space="0"/>
              <w:left w:val="single" w:color="auto" w:sz="4" w:space="0"/>
              <w:right w:val="single" w:color="auto" w:sz="4" w:space="0"/>
            </w:tcBorders>
            <w:vAlign w:val="center"/>
          </w:tcPr>
          <w:p>
            <w:pPr>
              <w:snapToGrid w:val="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钢筋混凝土结构</w:t>
            </w:r>
          </w:p>
        </w:tc>
        <w:tc>
          <w:tcPr>
            <w:tcW w:w="417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使</w:t>
            </w:r>
            <w:r>
              <w:rPr>
                <w:rFonts w:hint="eastAsia" w:ascii="宋体" w:hAnsi="宋体" w:eastAsia="宋体" w:cs="宋体"/>
                <w:color w:val="000000" w:themeColor="text1"/>
                <w:szCs w:val="21"/>
                <w14:textFill>
                  <w14:solidFill>
                    <w14:schemeClr w14:val="tx1"/>
                  </w14:solidFill>
                </w14:textFill>
              </w:rPr>
              <w:t>学生具备常见结构类型结构施工图的深度识读能力，在工程实际中具备分析和解决一般结构问题的能力，理解一般结构、构件的设计计算原理，具有正确理解和运用结构设计规范及图集的能力，为将来从事施工技术及施工管理工作奠定基础。</w:t>
            </w:r>
          </w:p>
        </w:tc>
        <w:tc>
          <w:tcPr>
            <w:tcW w:w="4021" w:type="dxa"/>
            <w:tcBorders>
              <w:top w:val="single" w:color="auto" w:sz="4" w:space="0"/>
              <w:left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包括钢筋混凝土结构、砌体结构、钢结构和建筑抗震设计基本知识四个方面内容</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7</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城市道路设计</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使学生</w:t>
            </w:r>
            <w:r>
              <w:rPr>
                <w:rFonts w:hint="eastAsia" w:ascii="宋体" w:hAnsi="宋体" w:eastAsia="宋体" w:cs="宋体"/>
                <w:color w:val="000000" w:themeColor="text1"/>
                <w:szCs w:val="21"/>
                <w14:textFill>
                  <w14:solidFill>
                    <w14:schemeClr w14:val="tx1"/>
                  </w14:solidFill>
                </w14:textFill>
              </w:rPr>
              <w:t>正确理解和运用城市道路的规范和标准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合理布置道路横断面，能进行平、纵、横断面的综合设计</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能正确分析平交路口和立交路口的交通特性和设计方案</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掌握各类交叉口一般的设计原理和方法，能进行立面设计</w:t>
            </w:r>
            <w:r>
              <w:rPr>
                <w:rFonts w:hint="eastAsia" w:ascii="宋体" w:hAnsi="宋体" w:eastAsia="宋体" w:cs="宋体"/>
                <w:color w:val="000000" w:themeColor="text1"/>
                <w:szCs w:val="21"/>
                <w:lang w:eastAsia="zh-CN"/>
                <w14:textFill>
                  <w14:solidFill>
                    <w14:schemeClr w14:val="tx1"/>
                  </w14:solidFill>
                </w14:textFill>
              </w:rPr>
              <w:t>。</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包括城市道路交通分析，城市道路网规划与设计，城市道路横、平、纵断面设计，城市快速路设计，城市道路平面交叉口及立体交叉口规划与设计，城市道路公用设施设计，城市道路景观与绿化设计，城市道路排水设计等有关内容</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8</w:t>
            </w:r>
          </w:p>
        </w:tc>
        <w:tc>
          <w:tcPr>
            <w:tcW w:w="820" w:type="dxa"/>
            <w:tcBorders>
              <w:top w:val="single" w:color="auto" w:sz="4" w:space="0"/>
              <w:left w:val="single" w:color="auto" w:sz="4" w:space="0"/>
              <w:right w:val="single" w:color="auto" w:sz="4" w:space="0"/>
            </w:tcBorders>
            <w:vAlign w:val="center"/>
          </w:tcPr>
          <w:p>
            <w:pPr>
              <w:snapToGrid w:val="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路基路面</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使学生应掌握路基路面基础知识；掌握一般路基路面设计方法；掌握路基路面各结构层施工工艺流程和质量控制指标；掌握路基及路面各结构层施工质量评定的内容与方法等。</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路基路面</w:t>
            </w:r>
            <w:r>
              <w:rPr>
                <w:rFonts w:hint="eastAsia" w:ascii="宋体" w:hAnsi="宋体" w:eastAsia="宋体" w:cs="宋体"/>
                <w:color w:val="000000" w:themeColor="text1"/>
                <w:szCs w:val="21"/>
                <w14:textFill>
                  <w14:solidFill>
                    <w14:schemeClr w14:val="tx1"/>
                  </w14:solidFill>
                </w14:textFill>
              </w:rPr>
              <w:t>相关的基本概念、原理和方法；沥青路面和水泥混凝土路面结构组合设计与厚度设计；路面施工、养护和管理的基本流程。具有路基路面工程相关的设计、施工、养护和质量检测与评定的基本能力</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给排水管道工程</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使</w:t>
            </w:r>
            <w:r>
              <w:rPr>
                <w:rFonts w:hint="eastAsia" w:ascii="宋体" w:hAnsi="宋体" w:eastAsia="宋体" w:cs="宋体"/>
                <w:color w:val="000000" w:themeColor="text1"/>
                <w:szCs w:val="21"/>
                <w14:textFill>
                  <w14:solidFill>
                    <w14:schemeClr w14:val="tx1"/>
                  </w14:solidFill>
                </w14:textFill>
              </w:rPr>
              <w:t>学生能够熟悉给排水工程的基本知识、理论，掌握室外给排水系统基本设计方法，能够熟悉进行给排水系统施工图的识读，为以后的课程学习和工作打下坚实基础。</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主要包括室外给水系统，室外排水系统、室外给排水管网维护管理、室外给排水管道系统图识读等内容。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10</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公路养护与管理</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掌握公路养护与管理的主要内容、国家的有关方针、政策及现行的有关规定与要求；按照有关设计、施工及养护标准和方法，进行公路与桥梁工程等构造物的病害分析和养护、维修；分析养护工程质量，确定有关养护对策和方案；掌握及运用养护管理的基本原理、方法和基本模式。提高学生的基础知识和基本技能，质量控制意识和工程质量分析能力，培养学生吃苦耐劳的职业品质和敬业精神</w:t>
            </w:r>
            <w:r>
              <w:rPr>
                <w:rFonts w:hint="eastAsia" w:ascii="宋体" w:hAnsi="宋体" w:eastAsia="宋体" w:cs="宋体"/>
                <w:color w:val="000000" w:themeColor="text1"/>
                <w:szCs w:val="21"/>
                <w:lang w:eastAsia="zh-CN"/>
                <w14:textFill>
                  <w14:solidFill>
                    <w14:schemeClr w14:val="tx1"/>
                  </w14:solidFill>
                </w14:textFill>
              </w:rPr>
              <w:t>。</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习公路调查管理的制度和方法，确定对公路的路基、路面、桥涵等构造物采取小修保养，大中修工程、改善工程，公路的使用质量和使用年限。了解掌握参与工程养护活动各主体在工程养护中地位，作用及相应的工程管理问题。同时以公路工程养护为背景，有效处理各种公路病害为控制核心，阐述工程养护管理理的基本概念，施工组织理论、养护措施，质量管理和控制、养护成本控制、信息管理等工程养护的基本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11</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市政管道工程施工</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使学生能了解市政管道工程系统分类、组成布置</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使学生了解市政管道工程系统的工作情况，重点要求学生掌握给水系统间量和压的关系、适用范围</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使学生掌握市政管道工程给水管道水力计算的工作原理、重点要求学生掌握给水管道水力计算方法和步骤</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使学生能合理布置给水管道，并对其进行优化设计，并能综合评价造价和运行成本</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全面掌握和了排水工程系统规划的基本概念、常识；准确掌握有关城镇给水管网设计的基本原理以及相关的计算方法；准确掌握有关城镇排水管道设计的基本原理以及相关的计算方法</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使学生掌握排水管网的水力计算和管网布置</w:t>
            </w:r>
            <w:r>
              <w:rPr>
                <w:rFonts w:hint="eastAsia" w:ascii="宋体" w:hAnsi="宋体" w:eastAsia="宋体" w:cs="宋体"/>
                <w:color w:val="000000" w:themeColor="text1"/>
                <w:szCs w:val="21"/>
                <w:lang w:eastAsia="zh-CN"/>
                <w14:textFill>
                  <w14:solidFill>
                    <w14:schemeClr w14:val="tx1"/>
                  </w14:solidFill>
                </w14:textFill>
              </w:rPr>
              <w:t>。</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包括市政管道工程的构造、市政管道及附属构筑物工程的施工、市政管道工程的施工组织设计与施工管理三部分内容。书中较系统地介绍了市政给水管道、排水管道、热力管道、燃气管道、电力管线和电信管线的构造；市政管道的开槽施工的工艺与方法、不开槽施工的工艺与方法、盾构施工的工艺与方法；市政给排水渠道、热力管沟、附属构筑物的施工方法；电力电缆和电信电缆的敷设方法；市政管道工程施工组织设计的方法；市政管道工程施工管理的方法等内容</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12</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桥梁工程施工</w:t>
            </w:r>
          </w:p>
        </w:tc>
        <w:tc>
          <w:tcPr>
            <w:tcW w:w="417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使学生</w:t>
            </w:r>
            <w:r>
              <w:rPr>
                <w:rFonts w:hint="eastAsia" w:ascii="宋体" w:hAnsi="宋体" w:eastAsia="宋体" w:cs="宋体"/>
                <w:color w:val="000000" w:themeColor="text1"/>
                <w:szCs w:val="21"/>
                <w14:textFill>
                  <w14:solidFill>
                    <w14:schemeClr w14:val="tx1"/>
                  </w14:solidFill>
                </w14:textFill>
              </w:rPr>
              <w:t>掌握桥梁工程的基础知识、基本理论，桥梁受力计算的一般方法，结构分析与理</w:t>
            </w:r>
            <w:r>
              <w:rPr>
                <w:rFonts w:hint="eastAsia" w:ascii="宋体" w:hAnsi="宋体" w:eastAsia="宋体" w:cs="宋体"/>
                <w:color w:val="000000" w:themeColor="text1"/>
                <w:szCs w:val="21"/>
                <w:lang w:val="en-US" w:eastAsia="zh-CN"/>
                <w14:textFill>
                  <w14:solidFill>
                    <w14:schemeClr w14:val="tx1"/>
                  </w14:solidFill>
                </w14:textFill>
              </w:rPr>
              <w:t>解</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能够依据桥梁工程基础理论分析桥梁建设的要求，能编制桥梁设计文件，并提出合理的方案；能够进行桥梁工程各种法规、政策分析，对桥梁工程方案进行比选与评价；能够就桥梁工程问题进行陈述发言，清晰表达研究或设计的具体思想、思路、方案、所采取的措施和效果等，并能与业界同行及社会公众进行有效沟通和交流</w:t>
            </w:r>
            <w:r>
              <w:rPr>
                <w:rFonts w:hint="eastAsia" w:ascii="宋体" w:hAnsi="宋体" w:eastAsia="宋体" w:cs="宋体"/>
                <w:color w:val="000000" w:themeColor="text1"/>
                <w:szCs w:val="21"/>
                <w:lang w:eastAsia="zh-CN"/>
                <w14:textFill>
                  <w14:solidFill>
                    <w14:schemeClr w14:val="tx1"/>
                  </w14:solidFill>
                </w14:textFill>
              </w:rPr>
              <w:t>。</w:t>
            </w:r>
          </w:p>
        </w:tc>
        <w:tc>
          <w:tcPr>
            <w:tcW w:w="402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包括</w:t>
            </w:r>
            <w:r>
              <w:rPr>
                <w:rFonts w:hint="eastAsia" w:ascii="宋体" w:hAnsi="宋体" w:eastAsia="宋体" w:cs="宋体"/>
                <w:color w:val="000000" w:themeColor="text1"/>
                <w:szCs w:val="21"/>
                <w14:textFill>
                  <w14:solidFill>
                    <w14:schemeClr w14:val="tx1"/>
                  </w14:solidFill>
                </w14:textFill>
              </w:rPr>
              <w:t>桥梁施工的基本知识，桥梁基础工程施工技术，桥梁墩台施工技术，钢筋混凝土梁桥施工技术，预应力混凝土桥梁施工技术，悬臂梁、连续梁及刚构桥施工技术，圬工和钢筋混凝土拱桥施工技术，斜拉桥与悬索桥施工技术，桥面及附属工程施工技术，涵洞施工技术等</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13</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工程招投标</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熟悉工程招投标有关法律、法规，掌握招投标文件的编制方法，进而能运用准确运用投标技巧有效的提高中标概率。帮助学生实现整合专业知识与职业能力的全面提高，给学生未来进入工程招投标领域工作打下坚实的基础。</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课程主要培养市政工程、给排水专业学生的建设工程招投标的基本理论和操作技能，培养学生具备自行编制建设工程招投标文件的能力。本课程主要讲述了工程招标投标内容、过程、方式、方法、投标报价技巧以及合同法律基础和工程索赔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2" w:type="dxa"/>
            <w:tcBorders>
              <w:top w:val="single" w:color="auto" w:sz="4" w:space="0"/>
              <w:left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14</w:t>
            </w:r>
          </w:p>
        </w:tc>
        <w:tc>
          <w:tcPr>
            <w:tcW w:w="820" w:type="dxa"/>
            <w:tcBorders>
              <w:top w:val="single" w:color="auto" w:sz="4" w:space="0"/>
              <w:left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水处理工程技术</w:t>
            </w:r>
          </w:p>
        </w:tc>
        <w:tc>
          <w:tcPr>
            <w:tcW w:w="4171" w:type="dxa"/>
            <w:tcBorders>
              <w:top w:val="single" w:color="auto" w:sz="4" w:space="0"/>
              <w:left w:val="single" w:color="auto" w:sz="4" w:space="0"/>
              <w:right w:val="single" w:color="auto" w:sz="4" w:space="0"/>
            </w:tcBorders>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了解水质特点、水质指标、水质标准、典型水处理工艺流程，各水处理构筑物及设备的基本原理，掌握水处理的基本方法和技术等基本知识，具备进行中小型水处理工程设计的基本能力和较强的水处理程运行管理的实际工作能力。在教学活动过程中，培养学生树立独立思考、吃苦耐劳、勤奋工作的意识以及诚实、守信的职业道德，为今后从事环境保护行业的工作打下良好的基础。</w:t>
            </w:r>
          </w:p>
        </w:tc>
        <w:tc>
          <w:tcPr>
            <w:tcW w:w="4021" w:type="dxa"/>
            <w:tcBorders>
              <w:top w:val="single" w:color="auto" w:sz="4" w:space="0"/>
              <w:left w:val="single" w:color="auto" w:sz="4" w:space="0"/>
              <w:right w:val="single" w:color="auto" w:sz="4" w:space="0"/>
            </w:tcBorders>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水质与水处理工程技术、地表水处理技术、地下水及特殊用水处理技术、城镇污水处理技术、工业废水处理技术。每章针对不同的水质特点及水质标准，按处理对象与处理方法、处理工艺、运行管理顺序编排。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15</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市政施工组织与管理</w:t>
            </w:r>
          </w:p>
        </w:tc>
        <w:tc>
          <w:tcPr>
            <w:tcW w:w="417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在专业能力方面要掌握工程项目管理、项目管理规划、项目组织管理基本知识；掌握施工组织计划、施工组织设计及施工方案的编制方法；熟悉项目进度管理，掌握项目进度计划、项目进度控制方法；熟悉质量管理、质量管理体系、项目质量计划内容、掌握项目质量控制方法；熟悉项目施工成本管理内容、施工成本计划、施工成本分析方法。培养学生分析问题、解决问题能力，严谨的工作作风、实事求是的工作态度，团队合作和承受挫折能力。</w:t>
            </w:r>
          </w:p>
        </w:tc>
        <w:tc>
          <w:tcPr>
            <w:tcW w:w="402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市政工程施工组织设计与项目管理概论，市政工程施工准备工作，流水施工组织，工程网络计划技术，市政工程施工组织设计的编制，市政工程施工管理，市政工程竣工验收以及市政工程施工组织设计实例。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16</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公路工程概预算</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使学生具有扎实的公路工程概预算基础、初步具有编制公路工程造价书的能力，熟练运用工程概预算定额和编制概预算文件，具备公路概预算方面的综合知识和较强的实践创新能力。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概（预）算编制的原则，工程计算规则，工程预算定额材料消耗量的确定、工程人工单价、材料单价、机械台班单价的确定、工程预算定额的套用以及工程量清单、计价表的编制，掌握工程量计算的方法，了解工程招投标的程序和方式，合理地确定工程造价，为有效控制建设项目的投资提供依据</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17</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市政工程施工监理与质量检测</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使学生掌握市政工程施工监理与质量检测的主要内容、 国家的有关方针、政策及现行的有关规定与要求；按照有关设计、施工标准和方 法，对市政工程施工进度、费用、质量、安全及施工环境保护进行监理；掌握及 运用市政工程质量检测方法，分析评价市政工程施工质量。</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包括概论、合同管理、进度监理、费用监理、质量监理、安全监理、环保监理等。质量检测篇共有六章，主要介绍市政工程中路基路面现场质量检测方法和结构主要使用功能及构件性能的检测方法，其内容包括市政工程质量评定方法、路基路面现场质量检测、混凝土构件质量检测、基桩桩身完整性检测、桥梁荷载试验、给排水管渠质量检测等。</w:t>
            </w:r>
          </w:p>
        </w:tc>
      </w:tr>
    </w:tbl>
    <w:p>
      <w:pPr>
        <w:rPr>
          <w:rFonts w:hint="eastAsia" w:ascii="黑体" w:hAnsi="黑体" w:eastAsia="黑体" w:cs="黑体"/>
          <w:b w:val="0"/>
          <w:bCs/>
          <w:color w:val="000000" w:themeColor="text1"/>
          <w:sz w:val="30"/>
          <w:szCs w:val="30"/>
          <w:lang w:val="en-US" w:eastAsia="zh-CN"/>
          <w14:textFill>
            <w14:solidFill>
              <w14:schemeClr w14:val="tx1"/>
            </w14:solidFill>
          </w14:textFill>
        </w:rPr>
      </w:pPr>
      <w:r>
        <w:rPr>
          <w:rFonts w:hint="eastAsia" w:ascii="黑体" w:hAnsi="黑体" w:eastAsia="黑体" w:cs="黑体"/>
          <w:b w:val="0"/>
          <w:bCs/>
          <w:color w:val="000000" w:themeColor="text1"/>
          <w:sz w:val="30"/>
          <w:szCs w:val="30"/>
          <w:lang w:val="en-US" w:eastAsia="zh-CN"/>
          <w14:textFill>
            <w14:solidFill>
              <w14:schemeClr w14:val="tx1"/>
            </w14:solidFill>
          </w14:textFill>
        </w:rPr>
        <w:br w:type="page"/>
      </w:r>
    </w:p>
    <w:p>
      <w:pPr>
        <w:pStyle w:val="35"/>
        <w:keepNext w:val="0"/>
        <w:keepLines w:val="0"/>
        <w:pageBreakBefore w:val="0"/>
        <w:widowControl w:val="0"/>
        <w:kinsoku/>
        <w:wordWrap/>
        <w:overflowPunct/>
        <w:topLinePunct w:val="0"/>
        <w:autoSpaceDE/>
        <w:autoSpaceDN/>
        <w:bidi w:val="0"/>
        <w:adjustRightInd/>
        <w:snapToGrid w:val="0"/>
        <w:spacing w:line="560" w:lineRule="exact"/>
        <w:ind w:left="319" w:leftChars="152" w:firstLine="300" w:firstLineChars="100"/>
        <w:textAlignment w:val="auto"/>
        <w:outlineLvl w:val="0"/>
        <w:rPr>
          <w:rFonts w:hint="eastAsia" w:ascii="黑体" w:hAnsi="黑体" w:eastAsia="黑体" w:cs="黑体"/>
          <w:b w:val="0"/>
          <w:bCs/>
          <w:color w:val="000000" w:themeColor="text1"/>
          <w:sz w:val="30"/>
          <w:szCs w:val="30"/>
          <w14:textFill>
            <w14:solidFill>
              <w14:schemeClr w14:val="tx1"/>
            </w14:solidFill>
          </w14:textFill>
        </w:rPr>
      </w:pPr>
      <w:bookmarkStart w:id="36" w:name="_Toc16060"/>
      <w:r>
        <w:rPr>
          <w:rFonts w:hint="eastAsia" w:ascii="黑体" w:hAnsi="黑体" w:eastAsia="黑体" w:cs="黑体"/>
          <w:b w:val="0"/>
          <w:bCs/>
          <w:color w:val="000000" w:themeColor="text1"/>
          <w:sz w:val="30"/>
          <w:szCs w:val="30"/>
          <w:lang w:val="en-US" w:eastAsia="zh-CN"/>
          <w14:textFill>
            <w14:solidFill>
              <w14:schemeClr w14:val="tx1"/>
            </w14:solidFill>
          </w14:textFill>
        </w:rPr>
        <w:t>七、</w:t>
      </w:r>
      <w:r>
        <w:rPr>
          <w:rFonts w:hint="eastAsia" w:ascii="黑体" w:hAnsi="黑体" w:eastAsia="黑体" w:cs="黑体"/>
          <w:b w:val="0"/>
          <w:bCs/>
          <w:color w:val="000000" w:themeColor="text1"/>
          <w:sz w:val="30"/>
          <w:szCs w:val="30"/>
          <w14:textFill>
            <w14:solidFill>
              <w14:schemeClr w14:val="tx1"/>
            </w14:solidFill>
          </w14:textFill>
        </w:rPr>
        <w:t>教学进程总体安排</w:t>
      </w:r>
      <w:bookmarkEnd w:id="36"/>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1"/>
        <w:rPr>
          <w:rFonts w:hint="eastAsia" w:ascii="楷体_GB2312" w:hAnsi="楷体_GB2312" w:eastAsia="楷体_GB2312" w:cs="楷体_GB2312"/>
          <w:b w:val="0"/>
          <w:bCs/>
          <w:color w:val="000000" w:themeColor="text1"/>
          <w:sz w:val="30"/>
          <w:szCs w:val="30"/>
          <w14:textFill>
            <w14:solidFill>
              <w14:schemeClr w14:val="tx1"/>
            </w14:solidFill>
          </w14:textFill>
        </w:rPr>
      </w:pPr>
      <w:bookmarkStart w:id="37" w:name="_Toc18477"/>
      <w:r>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t>（</w:t>
      </w:r>
      <w:r>
        <w:rPr>
          <w:rFonts w:hint="eastAsia" w:ascii="楷体_GB2312" w:hAnsi="楷体_GB2312" w:eastAsia="楷体_GB2312" w:cs="楷体_GB2312"/>
          <w:b w:val="0"/>
          <w:bCs/>
          <w:color w:val="000000" w:themeColor="text1"/>
          <w:sz w:val="30"/>
          <w:szCs w:val="30"/>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t>）</w:t>
      </w:r>
      <w:r>
        <w:rPr>
          <w:rFonts w:hint="eastAsia" w:ascii="楷体_GB2312" w:hAnsi="楷体_GB2312" w:eastAsia="楷体_GB2312" w:cs="楷体_GB2312"/>
          <w:b w:val="0"/>
          <w:bCs/>
          <w:color w:val="000000" w:themeColor="text1"/>
          <w:sz w:val="30"/>
          <w:szCs w:val="30"/>
          <w14:textFill>
            <w14:solidFill>
              <w14:schemeClr w14:val="tx1"/>
            </w14:solidFill>
          </w14:textFill>
        </w:rPr>
        <w:t>教育教学时间安排表</w:t>
      </w:r>
      <w:bookmarkEnd w:id="37"/>
    </w:p>
    <w:tbl>
      <w:tblPr>
        <w:tblStyle w:val="27"/>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阶段性实践教学</w:t>
            </w: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right w:val="single" w:color="auto" w:sz="4" w:space="0"/>
            </w:tcBorders>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劳动实践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bl>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1"/>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bookmarkStart w:id="38" w:name="_Toc20608"/>
      <w:r>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t>（</w:t>
      </w:r>
      <w:r>
        <w:rPr>
          <w:rFonts w:hint="eastAsia" w:ascii="楷体_GB2312" w:hAnsi="楷体_GB2312" w:eastAsia="楷体_GB2312" w:cs="楷体_GB2312"/>
          <w:b w:val="0"/>
          <w:bCs/>
          <w:color w:val="000000" w:themeColor="text1"/>
          <w:sz w:val="30"/>
          <w:szCs w:val="30"/>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t>）理论与实践教学学时分配表</w:t>
      </w:r>
      <w:bookmarkEnd w:id="38"/>
    </w:p>
    <w:tbl>
      <w:tblPr>
        <w:tblStyle w:val="2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1795"/>
        <w:gridCol w:w="992"/>
        <w:gridCol w:w="1417"/>
        <w:gridCol w:w="1134"/>
        <w:gridCol w:w="11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课  程  分  类</w:t>
            </w:r>
          </w:p>
        </w:tc>
        <w:tc>
          <w:tcPr>
            <w:tcW w:w="992"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总学时</w:t>
            </w:r>
          </w:p>
        </w:tc>
        <w:tc>
          <w:tcPr>
            <w:tcW w:w="2551"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理  论  教  学</w:t>
            </w:r>
          </w:p>
        </w:tc>
        <w:tc>
          <w:tcPr>
            <w:tcW w:w="2425"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实  践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276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1417"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13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c>
          <w:tcPr>
            <w:tcW w:w="1132"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293"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69" w:type="dxa"/>
            <w:vMerge w:val="restart"/>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702</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430</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61.3%</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272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1644</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652</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39.7%</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992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restart"/>
            <w:tcBorders>
              <w:top w:val="single" w:color="auto" w:sz="4" w:space="0"/>
              <w:left w:val="single" w:color="000000" w:sz="4" w:space="0"/>
              <w:bottom w:val="single" w:color="000000" w:sz="4" w:space="0"/>
              <w:right w:val="single" w:color="000000" w:sz="4" w:space="0"/>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96</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64</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66.7%</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384</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236</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61.5%</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148</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2826</w:t>
            </w:r>
          </w:p>
        </w:tc>
        <w:tc>
          <w:tcPr>
            <w:tcW w:w="1417"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1382</w:t>
            </w:r>
          </w:p>
        </w:tc>
        <w:tc>
          <w:tcPr>
            <w:tcW w:w="1134"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48.9%</w:t>
            </w:r>
          </w:p>
        </w:tc>
        <w:tc>
          <w:tcPr>
            <w:tcW w:w="1132"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1444</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798</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公共基础课学时比例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选修课教学总学时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480</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选修课教学学时比例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p>
        </w:tc>
      </w:tr>
    </w:tbl>
    <w:p>
      <w:pPr>
        <w:spacing w:line="360" w:lineRule="auto"/>
        <w:ind w:firstLine="422"/>
        <w:jc w:val="center"/>
        <w:outlineLvl w:val="9"/>
        <w:rPr>
          <w:rFonts w:ascii="宋体" w:hAnsi="宋体"/>
          <w:b/>
          <w:color w:val="000000" w:themeColor="text1"/>
          <w14:textFill>
            <w14:solidFill>
              <w14:schemeClr w14:val="tx1"/>
            </w14:solidFill>
          </w14:textFill>
        </w:rPr>
        <w:sectPr>
          <w:footerReference r:id="rId4" w:type="default"/>
          <w:pgSz w:w="11906" w:h="16838"/>
          <w:pgMar w:top="2098" w:right="1474" w:bottom="1984" w:left="1587" w:header="851" w:footer="992" w:gutter="0"/>
          <w:pgNumType w:fmt="decimal"/>
          <w:cols w:space="720" w:num="1"/>
          <w:docGrid w:type="lines" w:linePitch="312" w:charSpace="0"/>
        </w:sectPr>
      </w:pPr>
    </w:p>
    <w:p>
      <w:pPr>
        <w:pStyle w:val="84"/>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39" w:name="_Toc22338"/>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教学进度安排计划表----必修课程设置及学分、学时、进程表</w:t>
      </w:r>
      <w:bookmarkEnd w:id="39"/>
    </w:p>
    <w:tbl>
      <w:tblPr>
        <w:tblStyle w:val="28"/>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75"/>
        <w:gridCol w:w="535"/>
        <w:gridCol w:w="1222"/>
        <w:gridCol w:w="2259"/>
        <w:gridCol w:w="693"/>
        <w:gridCol w:w="658"/>
        <w:gridCol w:w="642"/>
        <w:gridCol w:w="522"/>
        <w:gridCol w:w="522"/>
        <w:gridCol w:w="522"/>
        <w:gridCol w:w="583"/>
        <w:gridCol w:w="583"/>
        <w:gridCol w:w="583"/>
        <w:gridCol w:w="583"/>
        <w:gridCol w:w="583"/>
        <w:gridCol w:w="588"/>
        <w:gridCol w:w="386"/>
        <w:gridCol w:w="106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949" w:type="dxa"/>
            <w:gridSpan w:val="2"/>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类别</w:t>
            </w:r>
          </w:p>
        </w:tc>
        <w:tc>
          <w:tcPr>
            <w:tcW w:w="535"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序号</w:t>
            </w:r>
          </w:p>
        </w:tc>
        <w:tc>
          <w:tcPr>
            <w:tcW w:w="122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课程代码</w:t>
            </w:r>
          </w:p>
        </w:tc>
        <w:tc>
          <w:tcPr>
            <w:tcW w:w="2259"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课程名称</w:t>
            </w:r>
          </w:p>
        </w:tc>
        <w:tc>
          <w:tcPr>
            <w:tcW w:w="1351" w:type="dxa"/>
            <w:gridSpan w:val="2"/>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课程性质</w:t>
            </w:r>
          </w:p>
        </w:tc>
        <w:tc>
          <w:tcPr>
            <w:tcW w:w="64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学分</w:t>
            </w:r>
          </w:p>
        </w:tc>
        <w:tc>
          <w:tcPr>
            <w:tcW w:w="1566" w:type="dxa"/>
            <w:gridSpan w:val="3"/>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教学课时</w:t>
            </w:r>
          </w:p>
        </w:tc>
        <w:tc>
          <w:tcPr>
            <w:tcW w:w="3503" w:type="dxa"/>
            <w:gridSpan w:val="6"/>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教学进程(学期、教学活动周数</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课堂教学周数）</w:t>
            </w:r>
          </w:p>
        </w:tc>
        <w:tc>
          <w:tcPr>
            <w:tcW w:w="386" w:type="dxa"/>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考核</w:t>
            </w:r>
          </w:p>
        </w:tc>
        <w:tc>
          <w:tcPr>
            <w:tcW w:w="1061" w:type="dxa"/>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开课</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部门</w:t>
            </w:r>
          </w:p>
        </w:tc>
        <w:tc>
          <w:tcPr>
            <w:tcW w:w="131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949" w:type="dxa"/>
            <w:gridSpan w:val="2"/>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2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259"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93" w:type="dxa"/>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w:t>
            </w:r>
          </w:p>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类型(A/B</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是否</w:t>
            </w:r>
          </w:p>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理实</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一体</w:t>
            </w:r>
          </w:p>
        </w:tc>
        <w:tc>
          <w:tcPr>
            <w:tcW w:w="64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总计</w:t>
            </w:r>
          </w:p>
        </w:tc>
        <w:tc>
          <w:tcPr>
            <w:tcW w:w="52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理论</w:t>
            </w:r>
          </w:p>
        </w:tc>
        <w:tc>
          <w:tcPr>
            <w:tcW w:w="52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实践</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1学期</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2学期</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3学期</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4学期</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5学期</w:t>
            </w: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6学期</w:t>
            </w:r>
          </w:p>
        </w:tc>
        <w:tc>
          <w:tcPr>
            <w:tcW w:w="386"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949" w:type="dxa"/>
            <w:gridSpan w:val="2"/>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2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259"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93"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58"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8" w:type="dxa"/>
            <w:vAlign w:val="center"/>
          </w:tcPr>
          <w:p>
            <w:pPr>
              <w:widowControl/>
              <w:jc w:val="center"/>
              <w:textAlignment w:val="center"/>
              <w:outlineLvl w:val="9"/>
              <w:rPr>
                <w:rFonts w:hint="eastAsia" w:ascii="楷体_GB2312" w:hAnsi="楷体_GB2312" w:eastAsia="宋体"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6</w:t>
            </w:r>
          </w:p>
        </w:tc>
        <w:tc>
          <w:tcPr>
            <w:tcW w:w="386"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blHeader/>
          <w:jc w:val="center"/>
        </w:trPr>
        <w:tc>
          <w:tcPr>
            <w:tcW w:w="949" w:type="dxa"/>
            <w:gridSpan w:val="2"/>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2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259"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93"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58"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6</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588"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6</w:t>
            </w:r>
          </w:p>
        </w:tc>
        <w:tc>
          <w:tcPr>
            <w:tcW w:w="386"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必    修    课</w:t>
            </w: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122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14501184001</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形势与政策I</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0.25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14501184002</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形势与政策II</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0.25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14501184003</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形势与政策III</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0.25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14501184004</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形势与政策IV</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0.25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14501184005</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形势与政策（专题）</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r>
              <w:rPr>
                <w:rFonts w:hint="eastAsia" w:ascii="宋体" w:hAnsi="宋体" w:eastAsia="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5</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14501184006</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军训Ⅱ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90</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90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C</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学生</w:t>
            </w:r>
          </w:p>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工作处</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14501184007</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军事理论</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E</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学生</w:t>
            </w:r>
          </w:p>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工作处</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14501184008</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劳动教育</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E</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学生</w:t>
            </w:r>
          </w:p>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工作处</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5"/>
                <w:szCs w:val="15"/>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14501184009</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思想道德与法治</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22" w:type="dxa"/>
            <w:vAlign w:val="center"/>
          </w:tcPr>
          <w:p>
            <w:pPr>
              <w:jc w:val="center"/>
              <w:outlineLvl w:val="1"/>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14501184010</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思想政治理论课</w:t>
            </w:r>
          </w:p>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实践教学</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C</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22" w:type="dxa"/>
            <w:vAlign w:val="center"/>
          </w:tcPr>
          <w:p>
            <w:pPr>
              <w:jc w:val="center"/>
              <w:outlineLvl w:val="1"/>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14501184011</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铸牢中华民族</w:t>
            </w:r>
          </w:p>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共同体意识</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必    修    课</w:t>
            </w:r>
          </w:p>
        </w:tc>
        <w:tc>
          <w:tcPr>
            <w:tcW w:w="535" w:type="dxa"/>
            <w:vAlign w:val="bottom"/>
          </w:tcPr>
          <w:p>
            <w:pPr>
              <w:pStyle w:val="84"/>
              <w:jc w:val="center"/>
              <w:outlineLvl w:val="1"/>
              <w:rPr>
                <w:rFonts w:hint="default" w:ascii="楷体_GB2312" w:hAnsi="楷体_GB2312" w:eastAsia="楷体_GB2312" w:cs="楷体_GB2312"/>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12</w:t>
            </w:r>
          </w:p>
        </w:tc>
        <w:tc>
          <w:tcPr>
            <w:tcW w:w="1222" w:type="dxa"/>
            <w:vAlign w:val="center"/>
          </w:tcPr>
          <w:p>
            <w:pPr>
              <w:jc w:val="center"/>
              <w:outlineLvl w:val="1"/>
              <w:rPr>
                <w:rFonts w:hint="default" w:ascii="楷体_GB2312" w:hAnsi="楷体_GB2312" w:eastAsia="楷体_GB2312" w:cs="楷体_GB2312"/>
                <w:b w:val="0"/>
                <w:bCs/>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14501184012</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习近平新时代</w:t>
            </w:r>
            <w:r>
              <w:rPr>
                <w:rFonts w:hint="eastAsia" w:ascii="宋体" w:hAnsi="宋体" w:eastAsia="宋体" w:cs="宋体"/>
                <w:color w:val="000000" w:themeColor="text1"/>
                <w:kern w:val="0"/>
                <w:sz w:val="21"/>
                <w:szCs w:val="21"/>
                <w:highlight w:val="none"/>
                <w14:textFill>
                  <w14:solidFill>
                    <w14:schemeClr w14:val="tx1"/>
                  </w14:solidFill>
                </w14:textFill>
              </w:rPr>
              <w:t>中国特色社会主义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思想</w:t>
            </w:r>
            <w:r>
              <w:rPr>
                <w:rFonts w:hint="eastAsia" w:ascii="宋体" w:hAnsi="宋体" w:eastAsia="宋体" w:cs="宋体"/>
                <w:color w:val="000000" w:themeColor="text1"/>
                <w:kern w:val="0"/>
                <w:sz w:val="21"/>
                <w:szCs w:val="21"/>
                <w:highlight w:val="none"/>
                <w14:textFill>
                  <w14:solidFill>
                    <w14:schemeClr w14:val="tx1"/>
                  </w14:solidFill>
                </w14:textFill>
              </w:rPr>
              <w:t>概论</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48</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B</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w:t>
            </w:r>
          </w:p>
        </w:tc>
        <w:tc>
          <w:tcPr>
            <w:tcW w:w="1222" w:type="dxa"/>
            <w:vAlign w:val="center"/>
          </w:tcPr>
          <w:p>
            <w:pPr>
              <w:jc w:val="center"/>
              <w:outlineLvl w:val="1"/>
              <w:rPr>
                <w:rFonts w:hint="default" w:ascii="楷体_GB2312" w:hAnsi="楷体_GB2312" w:eastAsia="楷体_GB2312" w:cs="楷体_GB2312"/>
                <w:b w:val="0"/>
                <w:bCs/>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14501184013</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毛泽东思想和中国特色社会主义理论体系概论</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B</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c>
          <w:tcPr>
            <w:tcW w:w="1222" w:type="dxa"/>
            <w:vAlign w:val="center"/>
          </w:tcPr>
          <w:p>
            <w:pPr>
              <w:jc w:val="center"/>
              <w:outlineLvl w:val="1"/>
              <w:rPr>
                <w:rFonts w:hint="default"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14501184014</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职业发展与就业指导</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14</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14501184015</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高职英语</w:t>
            </w:r>
            <w:r>
              <w:rPr>
                <w:rFonts w:hint="eastAsia" w:ascii="宋体" w:hAnsi="宋体" w:eastAsia="宋体" w:cs="宋体"/>
                <w:bCs/>
                <w:color w:val="000000" w:themeColor="text1"/>
                <w:kern w:val="0"/>
                <w:sz w:val="21"/>
                <w:szCs w:val="21"/>
                <w14:textFill>
                  <w14:solidFill>
                    <w14:schemeClr w14:val="tx1"/>
                  </w14:solidFill>
                </w14:textFill>
              </w:rPr>
              <w:t>Ⅰ</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32</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20</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12</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14501184016</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高职英语</w:t>
            </w:r>
            <w:r>
              <w:rPr>
                <w:rFonts w:hint="eastAsia" w:ascii="宋体" w:hAnsi="宋体" w:eastAsia="宋体" w:cs="宋体"/>
                <w:bCs/>
                <w:color w:val="000000" w:themeColor="text1"/>
                <w:kern w:val="0"/>
                <w:sz w:val="21"/>
                <w:szCs w:val="21"/>
                <w14:textFill>
                  <w14:solidFill>
                    <w14:schemeClr w14:val="tx1"/>
                  </w14:solidFill>
                </w14:textFill>
              </w:rPr>
              <w:t>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32</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20</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12</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14501184017</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信息技术</w:t>
            </w:r>
            <w:r>
              <w:rPr>
                <w:rFonts w:hint="eastAsia" w:ascii="宋体" w:hAnsi="宋体" w:eastAsia="宋体" w:cs="宋体"/>
                <w:bCs/>
                <w:color w:val="000000" w:themeColor="text1"/>
                <w:kern w:val="0"/>
                <w:sz w:val="21"/>
                <w:szCs w:val="21"/>
                <w14:textFill>
                  <w14:solidFill>
                    <w14:schemeClr w14:val="tx1"/>
                  </w14:solidFill>
                </w14:textFill>
              </w:rPr>
              <w:t>Ⅰ</w:t>
            </w:r>
            <w:r>
              <w:rPr>
                <w:rFonts w:hint="eastAsia" w:ascii="宋体" w:hAnsi="宋体" w:eastAsia="宋体" w:cs="宋体"/>
                <w:b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高职</w:t>
            </w:r>
            <w:r>
              <w:rPr>
                <w:rFonts w:hint="eastAsia" w:ascii="宋体" w:hAnsi="宋体" w:eastAsia="宋体" w:cs="宋体"/>
                <w:bCs/>
                <w:color w:val="000000" w:themeColor="text1"/>
                <w:kern w:val="0"/>
                <w:sz w:val="21"/>
                <w:szCs w:val="21"/>
                <w:lang w:eastAsia="zh-CN"/>
                <w14:textFill>
                  <w14:solidFill>
                    <w14:schemeClr w14:val="tx1"/>
                  </w14:solidFill>
                </w14:textFill>
              </w:rPr>
              <w:t>）</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32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30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14501184018</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信息技术</w:t>
            </w:r>
            <w:r>
              <w:rPr>
                <w:rFonts w:hint="eastAsia" w:ascii="宋体" w:hAnsi="宋体" w:eastAsia="宋体" w:cs="宋体"/>
                <w:bCs/>
                <w:color w:val="000000" w:themeColor="text1"/>
                <w:kern w:val="0"/>
                <w:sz w:val="21"/>
                <w:szCs w:val="21"/>
                <w14:textFill>
                  <w14:solidFill>
                    <w14:schemeClr w14:val="tx1"/>
                  </w14:solidFill>
                </w14:textFill>
              </w:rPr>
              <w:t>Ⅱ</w:t>
            </w:r>
            <w:r>
              <w:rPr>
                <w:rFonts w:hint="eastAsia" w:ascii="宋体" w:hAnsi="宋体" w:eastAsia="宋体" w:cs="宋体"/>
                <w:b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高职</w:t>
            </w:r>
            <w:r>
              <w:rPr>
                <w:rFonts w:hint="eastAsia" w:ascii="宋体" w:hAnsi="宋体" w:eastAsia="宋体" w:cs="宋体"/>
                <w:bCs/>
                <w:color w:val="000000" w:themeColor="text1"/>
                <w:kern w:val="0"/>
                <w:sz w:val="21"/>
                <w:szCs w:val="21"/>
                <w:lang w:eastAsia="zh-CN"/>
                <w14:textFill>
                  <w14:solidFill>
                    <w14:schemeClr w14:val="tx1"/>
                  </w14:solidFill>
                </w14:textFill>
              </w:rPr>
              <w:t>）</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32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30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19</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14501184019</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高职实用语文</w:t>
            </w:r>
            <w:r>
              <w:rPr>
                <w:rFonts w:hint="eastAsia" w:ascii="宋体" w:hAnsi="宋体" w:eastAsia="宋体" w:cs="宋体"/>
                <w:bCs/>
                <w:color w:val="000000" w:themeColor="text1"/>
                <w:kern w:val="0"/>
                <w:sz w:val="21"/>
                <w:szCs w:val="21"/>
                <w14:textFill>
                  <w14:solidFill>
                    <w14:schemeClr w14:val="tx1"/>
                  </w14:solidFill>
                </w14:textFill>
              </w:rPr>
              <w:t>Ⅰ</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14501184020</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高职实用语文</w:t>
            </w:r>
            <w:r>
              <w:rPr>
                <w:rFonts w:hint="eastAsia" w:ascii="宋体" w:hAnsi="宋体" w:eastAsia="宋体" w:cs="宋体"/>
                <w:bCs/>
                <w:color w:val="000000" w:themeColor="text1"/>
                <w:kern w:val="0"/>
                <w:sz w:val="21"/>
                <w:szCs w:val="21"/>
                <w14:textFill>
                  <w14:solidFill>
                    <w14:schemeClr w14:val="tx1"/>
                  </w14:solidFill>
                </w14:textFill>
              </w:rPr>
              <w:t>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21</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14501184021</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体育</w:t>
            </w:r>
            <w:r>
              <w:rPr>
                <w:rFonts w:hint="eastAsia" w:ascii="宋体" w:hAnsi="宋体" w:eastAsia="宋体" w:cs="宋体"/>
                <w:bCs/>
                <w:color w:val="000000" w:themeColor="text1"/>
                <w:kern w:val="0"/>
                <w:sz w:val="21"/>
                <w:szCs w:val="21"/>
                <w:lang w:val="en-US" w:eastAsia="zh-CN"/>
                <w14:textFill>
                  <w14:solidFill>
                    <w14:schemeClr w14:val="tx1"/>
                  </w14:solidFill>
                </w14:textFill>
              </w:rPr>
              <w:t>与健康</w:t>
            </w:r>
            <w:r>
              <w:rPr>
                <w:rFonts w:hint="eastAsia" w:ascii="宋体" w:hAnsi="宋体" w:eastAsia="宋体" w:cs="宋体"/>
                <w:bCs/>
                <w:color w:val="000000" w:themeColor="text1"/>
                <w:kern w:val="0"/>
                <w:sz w:val="21"/>
                <w:szCs w:val="21"/>
                <w14:textFill>
                  <w14:solidFill>
                    <w14:schemeClr w14:val="tx1"/>
                  </w14:solidFill>
                </w14:textFill>
              </w:rPr>
              <w:t>Ⅰ</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t>
            </w: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t>
            </w: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22</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14501184022</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体育</w:t>
            </w:r>
            <w:r>
              <w:rPr>
                <w:rFonts w:hint="eastAsia" w:ascii="宋体" w:hAnsi="宋体" w:eastAsia="宋体" w:cs="宋体"/>
                <w:bCs/>
                <w:color w:val="000000" w:themeColor="text1"/>
                <w:kern w:val="0"/>
                <w:sz w:val="21"/>
                <w:szCs w:val="21"/>
                <w:lang w:val="en-US" w:eastAsia="zh-CN"/>
                <w14:textFill>
                  <w14:solidFill>
                    <w14:schemeClr w14:val="tx1"/>
                  </w14:solidFill>
                </w14:textFill>
              </w:rPr>
              <w:t>与健康</w:t>
            </w:r>
            <w:r>
              <w:rPr>
                <w:rFonts w:hint="eastAsia" w:ascii="宋体" w:hAnsi="宋体" w:eastAsia="宋体" w:cs="宋体"/>
                <w:bCs/>
                <w:color w:val="000000" w:themeColor="text1"/>
                <w:kern w:val="0"/>
                <w:sz w:val="21"/>
                <w:szCs w:val="21"/>
                <w14:textFill>
                  <w14:solidFill>
                    <w14:schemeClr w14:val="tx1"/>
                  </w14:solidFill>
                </w14:textFill>
              </w:rPr>
              <w:t>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t>
            </w: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t>
            </w: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14501184023</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高职</w:t>
            </w:r>
            <w:r>
              <w:rPr>
                <w:rFonts w:hint="eastAsia" w:ascii="宋体" w:hAnsi="宋体" w:eastAsia="宋体" w:cs="宋体"/>
                <w:color w:val="000000" w:themeColor="text1"/>
                <w:kern w:val="0"/>
                <w:sz w:val="21"/>
                <w:szCs w:val="21"/>
                <w:lang w:val="en-US" w:eastAsia="zh-CN"/>
                <w14:textFill>
                  <w14:solidFill>
                    <w14:schemeClr w14:val="tx1"/>
                  </w14:solidFill>
                </w14:textFill>
              </w:rPr>
              <w:t>数学</w:t>
            </w:r>
            <w:r>
              <w:rPr>
                <w:rFonts w:hint="eastAsia" w:ascii="宋体" w:hAnsi="宋体" w:eastAsia="宋体" w:cs="宋体"/>
                <w:bCs/>
                <w:color w:val="000000" w:themeColor="text1"/>
                <w:kern w:val="0"/>
                <w:sz w:val="21"/>
                <w:szCs w:val="21"/>
                <w14:textFill>
                  <w14:solidFill>
                    <w14:schemeClr w14:val="tx1"/>
                  </w14:solidFill>
                </w14:textFill>
              </w:rPr>
              <w:t>Ⅰ</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公</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共    基    础    课</w:t>
            </w:r>
          </w:p>
        </w:tc>
        <w:tc>
          <w:tcPr>
            <w:tcW w:w="475" w:type="dxa"/>
            <w:vMerge w:val="restart"/>
            <w:vAlign w:val="center"/>
          </w:tcPr>
          <w:p>
            <w:pPr>
              <w:pStyle w:val="84"/>
              <w:jc w:val="center"/>
              <w:outlineLvl w:val="1"/>
              <w:rPr>
                <w:rFonts w:hint="default" w:ascii="楷体_GB2312" w:hAnsi="楷体_GB2312" w:eastAsia="楷体_GB2312" w:cs="楷体_GB2312"/>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公共必修课</w:t>
            </w: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14501184024</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高职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数学</w:t>
            </w:r>
            <w:r>
              <w:rPr>
                <w:rFonts w:hint="eastAsia" w:ascii="宋体" w:hAnsi="宋体" w:eastAsia="宋体" w:cs="宋体"/>
                <w:bCs/>
                <w:color w:val="000000" w:themeColor="text1"/>
                <w:kern w:val="0"/>
                <w:sz w:val="21"/>
                <w:szCs w:val="21"/>
                <w:highlight w:val="none"/>
                <w14:textFill>
                  <w14:solidFill>
                    <w14:schemeClr w14:val="tx1"/>
                  </w14:solidFill>
                </w14:textFill>
              </w:rPr>
              <w:t>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25</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14501184025</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心理健康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教育</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28</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学生</w:t>
            </w:r>
          </w:p>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工作处</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14501184026</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大学生安全教育</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8</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27</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14501184027</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创新与创业教育</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24</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42" w:type="dxa"/>
            <w:gridSpan w:val="6"/>
            <w:vAlign w:val="center"/>
          </w:tcPr>
          <w:p>
            <w:pPr>
              <w:widowControl/>
              <w:jc w:val="center"/>
              <w:textAlignment w:val="center"/>
              <w:outlineLvl w:val="9"/>
              <w:rPr>
                <w:rFonts w:hint="eastAsia" w:ascii="楷体_GB2312" w:hAnsi="楷体_GB2312" w:eastAsia="楷体_GB2312" w:cs="楷体_GB2312"/>
                <w:b w:val="0"/>
                <w:bCs/>
                <w:color w:val="000000" w:themeColor="text1"/>
                <w:spacing w:val="0"/>
                <w:w w:val="100"/>
                <w:sz w:val="28"/>
                <w:szCs w:val="28"/>
                <w:vertAlign w:val="baseline"/>
                <w14:textFill>
                  <w14:solidFill>
                    <w14:schemeClr w14:val="tx1"/>
                  </w14:solidFill>
                </w14:textFill>
              </w:rPr>
            </w:pPr>
            <w:r>
              <w:rPr>
                <w:rFonts w:hint="eastAsia" w:ascii="宋体" w:hAnsi="宋体" w:eastAsia="宋体" w:cs="宋体"/>
                <w:bCs/>
                <w:color w:val="000000" w:themeColor="text1"/>
                <w:spacing w:val="0"/>
                <w:w w:val="100"/>
                <w:kern w:val="0"/>
                <w:sz w:val="21"/>
                <w:szCs w:val="21"/>
                <w:lang w:val="en-US" w:eastAsia="zh-CN" w:bidi="ar-SA"/>
                <w14:textFill>
                  <w14:solidFill>
                    <w14:schemeClr w14:val="tx1"/>
                  </w14:solidFill>
                </w14:textFill>
              </w:rPr>
              <w:t>公共必修课小计</w:t>
            </w: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pacing w:val="0"/>
                <w:w w:val="100"/>
                <w:sz w:val="28"/>
                <w:szCs w:val="28"/>
                <w:vertAlign w:val="baseline"/>
                <w14:textFill>
                  <w14:solidFill>
                    <w14:schemeClr w14:val="tx1"/>
                  </w14:solidFill>
                </w14:textFill>
              </w:rPr>
            </w:pPr>
            <w:r>
              <w:rPr>
                <w:rFonts w:hint="eastAsia" w:ascii="宋体" w:hAnsi="宋体" w:eastAsia="宋体" w:cs="宋体"/>
                <w:bCs/>
                <w:color w:val="000000" w:themeColor="text1"/>
                <w:spacing w:val="0"/>
                <w:w w:val="100"/>
                <w:kern w:val="0"/>
                <w:sz w:val="21"/>
                <w:szCs w:val="21"/>
                <w:lang w:val="en-US" w:eastAsia="zh-CN"/>
                <w14:textFill>
                  <w14:solidFill>
                    <w14:schemeClr w14:val="tx1"/>
                  </w14:solidFill>
                </w14:textFill>
              </w:rPr>
              <w:t>42</w:t>
            </w:r>
          </w:p>
        </w:tc>
        <w:tc>
          <w:tcPr>
            <w:tcW w:w="522" w:type="dxa"/>
            <w:tcFitText/>
            <w:vAlign w:val="center"/>
          </w:tcPr>
          <w:p>
            <w:pPr>
              <w:widowControl/>
              <w:jc w:val="center"/>
              <w:textAlignment w:val="center"/>
              <w:outlineLvl w:val="9"/>
              <w:rPr>
                <w:rFonts w:hint="default" w:ascii="楷体_GB2312" w:hAnsi="楷体_GB2312" w:eastAsia="楷体_GB2312" w:cs="楷体_GB2312"/>
                <w:b w:val="0"/>
                <w:bCs/>
                <w:color w:val="000000" w:themeColor="text1"/>
                <w:spacing w:val="0"/>
                <w:sz w:val="28"/>
                <w:szCs w:val="28"/>
                <w:vertAlign w:val="baseline"/>
                <w:lang w:val="en-US"/>
                <w14:textFill>
                  <w14:solidFill>
                    <w14:schemeClr w14:val="tx1"/>
                  </w14:solidFill>
                </w14:textFill>
              </w:rPr>
            </w:pPr>
            <w:r>
              <w:rPr>
                <w:rFonts w:hint="eastAsia" w:ascii="宋体" w:hAnsi="宋体" w:eastAsia="宋体" w:cs="宋体"/>
                <w:bCs/>
                <w:color w:val="000000" w:themeColor="text1"/>
                <w:spacing w:val="1"/>
                <w:w w:val="93"/>
                <w:kern w:val="0"/>
                <w:sz w:val="21"/>
                <w:szCs w:val="21"/>
                <w:lang w:val="en-US" w:eastAsia="zh-CN"/>
                <w14:textFill>
                  <w14:solidFill>
                    <w14:schemeClr w14:val="tx1"/>
                  </w14:solidFill>
                </w14:textFill>
              </w:rPr>
              <w:t>70</w:t>
            </w:r>
            <w:r>
              <w:rPr>
                <w:rFonts w:hint="eastAsia" w:ascii="宋体" w:hAnsi="宋体" w:eastAsia="宋体" w:cs="宋体"/>
                <w:bCs/>
                <w:color w:val="000000" w:themeColor="text1"/>
                <w:spacing w:val="0"/>
                <w:w w:val="93"/>
                <w:kern w:val="0"/>
                <w:sz w:val="21"/>
                <w:szCs w:val="21"/>
                <w:lang w:val="en-US" w:eastAsia="zh-CN"/>
                <w14:textFill>
                  <w14:solidFill>
                    <w14:schemeClr w14:val="tx1"/>
                  </w14:solidFill>
                </w14:textFill>
              </w:rPr>
              <w:t>2</w:t>
            </w:r>
          </w:p>
        </w:tc>
        <w:tc>
          <w:tcPr>
            <w:tcW w:w="522" w:type="dxa"/>
            <w:tcFitText/>
            <w:vAlign w:val="center"/>
          </w:tcPr>
          <w:p>
            <w:pPr>
              <w:widowControl/>
              <w:jc w:val="center"/>
              <w:textAlignment w:val="center"/>
              <w:outlineLvl w:val="9"/>
              <w:rPr>
                <w:rFonts w:hint="default" w:ascii="楷体_GB2312" w:hAnsi="楷体_GB2312" w:eastAsia="楷体_GB2312" w:cs="楷体_GB2312"/>
                <w:b w:val="0"/>
                <w:bCs/>
                <w:color w:val="000000" w:themeColor="text1"/>
                <w:spacing w:val="0"/>
                <w:sz w:val="28"/>
                <w:szCs w:val="28"/>
                <w:vertAlign w:val="baseline"/>
                <w:lang w:val="en-US"/>
                <w14:textFill>
                  <w14:solidFill>
                    <w14:schemeClr w14:val="tx1"/>
                  </w14:solidFill>
                </w14:textFill>
              </w:rPr>
            </w:pPr>
            <w:r>
              <w:rPr>
                <w:rFonts w:hint="eastAsia" w:ascii="宋体" w:hAnsi="宋体" w:eastAsia="宋体" w:cs="宋体"/>
                <w:bCs/>
                <w:color w:val="000000" w:themeColor="text1"/>
                <w:spacing w:val="1"/>
                <w:w w:val="93"/>
                <w:kern w:val="0"/>
                <w:sz w:val="21"/>
                <w:szCs w:val="21"/>
                <w:lang w:val="en-US" w:eastAsia="zh-CN"/>
                <w14:textFill>
                  <w14:solidFill>
                    <w14:schemeClr w14:val="tx1"/>
                  </w14:solidFill>
                </w14:textFill>
              </w:rPr>
              <w:t>43</w:t>
            </w:r>
            <w:r>
              <w:rPr>
                <w:rFonts w:hint="eastAsia" w:ascii="宋体" w:hAnsi="宋体" w:eastAsia="宋体" w:cs="宋体"/>
                <w:bCs/>
                <w:color w:val="000000" w:themeColor="text1"/>
                <w:spacing w:val="0"/>
                <w:w w:val="93"/>
                <w:kern w:val="0"/>
                <w:sz w:val="21"/>
                <w:szCs w:val="21"/>
                <w:lang w:val="en-US" w:eastAsia="zh-CN"/>
                <w14:textFill>
                  <w14:solidFill>
                    <w14:schemeClr w14:val="tx1"/>
                  </w14:solidFill>
                </w14:textFill>
              </w:rPr>
              <w:t>0</w:t>
            </w:r>
          </w:p>
        </w:tc>
        <w:tc>
          <w:tcPr>
            <w:tcW w:w="522" w:type="dxa"/>
            <w:tcFitText/>
            <w:vAlign w:val="center"/>
          </w:tcPr>
          <w:p>
            <w:pPr>
              <w:widowControl/>
              <w:jc w:val="center"/>
              <w:textAlignment w:val="center"/>
              <w:outlineLvl w:val="9"/>
              <w:rPr>
                <w:rFonts w:hint="default" w:ascii="楷体_GB2312" w:hAnsi="楷体_GB2312" w:eastAsia="楷体_GB2312" w:cs="楷体_GB2312"/>
                <w:b w:val="0"/>
                <w:bCs/>
                <w:color w:val="000000" w:themeColor="text1"/>
                <w:spacing w:val="0"/>
                <w:sz w:val="28"/>
                <w:szCs w:val="28"/>
                <w:vertAlign w:val="baseline"/>
                <w:lang w:val="en-US"/>
                <w14:textFill>
                  <w14:solidFill>
                    <w14:schemeClr w14:val="tx1"/>
                  </w14:solidFill>
                </w14:textFill>
              </w:rPr>
            </w:pPr>
            <w:r>
              <w:rPr>
                <w:rFonts w:hint="eastAsia" w:ascii="宋体" w:hAnsi="宋体" w:eastAsia="宋体" w:cs="宋体"/>
                <w:bCs/>
                <w:color w:val="000000" w:themeColor="text1"/>
                <w:spacing w:val="1"/>
                <w:w w:val="93"/>
                <w:kern w:val="0"/>
                <w:sz w:val="21"/>
                <w:szCs w:val="21"/>
                <w:lang w:val="en-US" w:eastAsia="zh-CN"/>
                <w14:textFill>
                  <w14:solidFill>
                    <w14:schemeClr w14:val="tx1"/>
                  </w14:solidFill>
                </w14:textFill>
              </w:rPr>
              <w:t>27</w:t>
            </w:r>
            <w:r>
              <w:rPr>
                <w:rFonts w:hint="eastAsia" w:ascii="宋体" w:hAnsi="宋体" w:eastAsia="宋体" w:cs="宋体"/>
                <w:bCs/>
                <w:color w:val="000000" w:themeColor="text1"/>
                <w:spacing w:val="0"/>
                <w:w w:val="93"/>
                <w:kern w:val="0"/>
                <w:sz w:val="21"/>
                <w:szCs w:val="21"/>
                <w:lang w:val="en-US" w:eastAsia="zh-CN"/>
                <w14:textFill>
                  <w14:solidFill>
                    <w14:schemeClr w14:val="tx1"/>
                  </w14:solidFill>
                </w14:textFill>
              </w:rPr>
              <w:t>2</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18</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14</w:t>
            </w:r>
          </w:p>
        </w:tc>
        <w:tc>
          <w:tcPr>
            <w:tcW w:w="583" w:type="dxa"/>
            <w:vAlign w:val="center"/>
          </w:tcPr>
          <w:p>
            <w:pPr>
              <w:widowControl/>
              <w:jc w:val="center"/>
              <w:textAlignment w:val="center"/>
              <w:outlineLvl w:val="9"/>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4</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1</w:t>
            </w:r>
          </w:p>
        </w:tc>
        <w:tc>
          <w:tcPr>
            <w:tcW w:w="583" w:type="dxa"/>
            <w:vAlign w:val="center"/>
          </w:tcPr>
          <w:p>
            <w:pPr>
              <w:widowControl/>
              <w:jc w:val="center"/>
              <w:textAlignment w:val="center"/>
              <w:outlineLvl w:val="9"/>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p>
        </w:tc>
        <w:tc>
          <w:tcPr>
            <w:tcW w:w="386" w:type="dxa"/>
            <w:tcFitTex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公共选修课</w:t>
            </w: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14501185001</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党史</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Merge w:val="restart"/>
            <w:vAlign w:val="center"/>
          </w:tcPr>
          <w:p>
            <w:pPr>
              <w:pStyle w:val="84"/>
              <w:jc w:val="left"/>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“四史”教育任选其一，上课为4周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14501185002</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新中国史</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14501185003</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改革开放史</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14501185004</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社会主义发展史</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14501185005</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急救与自救（</w:t>
            </w:r>
            <w:r>
              <w:rPr>
                <w:rFonts w:hint="eastAsia" w:ascii="宋体" w:hAnsi="宋体" w:eastAsia="宋体" w:cs="宋体"/>
                <w:bCs/>
                <w:color w:val="000000" w:themeColor="text1"/>
                <w:kern w:val="0"/>
                <w:sz w:val="21"/>
                <w:szCs w:val="21"/>
                <w:lang w:val="en-US" w:eastAsia="zh-CN"/>
                <w14:textFill>
                  <w14:solidFill>
                    <w14:schemeClr w14:val="tx1"/>
                  </w14:solidFill>
                </w14:textFill>
              </w:rPr>
              <w:t>网</w:t>
            </w:r>
            <w:r>
              <w:rPr>
                <w:rFonts w:hint="eastAsia" w:ascii="宋体" w:hAnsi="宋体" w:eastAsia="宋体" w:cs="宋体"/>
                <w:bCs/>
                <w:color w:val="000000" w:themeColor="text1"/>
                <w:kern w:val="0"/>
                <w:sz w:val="21"/>
                <w:szCs w:val="21"/>
                <w:lang w:eastAsia="zh-CN"/>
                <w14:textFill>
                  <w14:solidFill>
                    <w14:schemeClr w14:val="tx1"/>
                  </w14:solidFill>
                </w14:textFill>
              </w:rPr>
              <w:t>）</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restart"/>
            <w:vAlign w:val="center"/>
          </w:tcPr>
          <w:p>
            <w:pPr>
              <w:widowControl/>
              <w:jc w:val="left"/>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限选课程，在线学习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14501185006</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中华优秀传统文化（</w:t>
            </w:r>
            <w:r>
              <w:rPr>
                <w:rFonts w:hint="eastAsia" w:ascii="宋体" w:hAnsi="宋体" w:eastAsia="宋体" w:cs="宋体"/>
                <w:color w:val="000000" w:themeColor="text1"/>
                <w:kern w:val="0"/>
                <w:sz w:val="21"/>
                <w:szCs w:val="21"/>
                <w:lang w:val="en-US" w:eastAsia="zh-CN"/>
                <w14:textFill>
                  <w14:solidFill>
                    <w14:schemeClr w14:val="tx1"/>
                  </w14:solidFill>
                </w14:textFill>
              </w:rPr>
              <w:t>网</w:t>
            </w:r>
            <w:r>
              <w:rPr>
                <w:rFonts w:hint="eastAsia" w:ascii="宋体" w:hAnsi="宋体" w:eastAsia="宋体" w:cs="宋体"/>
                <w:color w:val="000000" w:themeColor="text1"/>
                <w:kern w:val="0"/>
                <w:sz w:val="21"/>
                <w:szCs w:val="21"/>
                <w:lang w:eastAsia="zh-CN"/>
                <w14:textFill>
                  <w14:solidFill>
                    <w14:schemeClr w14:val="tx1"/>
                  </w14:solidFill>
                </w14:textFill>
              </w:rPr>
              <w:t>）</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14501185007</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大学生劳动就业法律问题解读（</w:t>
            </w:r>
            <w:r>
              <w:rPr>
                <w:rFonts w:hint="eastAsia" w:ascii="宋体" w:hAnsi="宋体" w:eastAsia="宋体" w:cs="宋体"/>
                <w:bCs/>
                <w:color w:val="000000" w:themeColor="text1"/>
                <w:kern w:val="0"/>
                <w:sz w:val="21"/>
                <w:szCs w:val="21"/>
                <w:lang w:val="en-US" w:eastAsia="zh-CN"/>
                <w14:textFill>
                  <w14:solidFill>
                    <w14:schemeClr w14:val="tx1"/>
                  </w14:solidFill>
                </w14:textFill>
              </w:rPr>
              <w:t>网</w:t>
            </w:r>
            <w:r>
              <w:rPr>
                <w:rFonts w:hint="eastAsia" w:ascii="宋体" w:hAnsi="宋体" w:eastAsia="宋体" w:cs="宋体"/>
                <w:bCs/>
                <w:color w:val="000000" w:themeColor="text1"/>
                <w:kern w:val="0"/>
                <w:sz w:val="21"/>
                <w:szCs w:val="21"/>
                <w:lang w:eastAsia="zh-CN"/>
                <w14:textFill>
                  <w14:solidFill>
                    <w14:schemeClr w14:val="tx1"/>
                  </w14:solidFill>
                </w14:textFill>
              </w:rPr>
              <w:t>）</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公</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共    基    础    课</w:t>
            </w: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公共选修课</w:t>
            </w: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14501185008</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国防</w:t>
            </w:r>
            <w:r>
              <w:rPr>
                <w:rFonts w:hint="eastAsia" w:ascii="宋体" w:hAnsi="宋体" w:eastAsia="宋体" w:cs="宋体"/>
                <w:bCs/>
                <w:color w:val="000000" w:themeColor="text1"/>
                <w:kern w:val="0"/>
                <w:sz w:val="21"/>
                <w:szCs w:val="21"/>
                <w:lang w:eastAsia="zh-CN"/>
                <w14:textFill>
                  <w14:solidFill>
                    <w14:schemeClr w14:val="tx1"/>
                  </w14:solidFill>
                </w14:textFill>
              </w:rPr>
              <w:t>安全</w:t>
            </w:r>
            <w:r>
              <w:rPr>
                <w:rFonts w:hint="eastAsia" w:ascii="宋体" w:hAnsi="宋体" w:eastAsia="宋体" w:cs="宋体"/>
                <w:bCs/>
                <w:color w:val="000000" w:themeColor="text1"/>
                <w:kern w:val="0"/>
                <w:sz w:val="21"/>
                <w:szCs w:val="21"/>
                <w14:textFill>
                  <w14:solidFill>
                    <w14:schemeClr w14:val="tx1"/>
                  </w14:solidFill>
                </w14:textFill>
              </w:rPr>
              <w:t>教育</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14501185009</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节能减排</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14501185010</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应用文写作</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14501185011</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唐诗宋词鉴赏</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bottom"/>
          </w:tcPr>
          <w:p>
            <w:pPr>
              <w:pStyle w:val="84"/>
              <w:jc w:val="center"/>
              <w:outlineLvl w:val="1"/>
              <w:rPr>
                <w:rFonts w:hint="eastAsia" w:ascii="楷体_GB2312" w:hAnsi="楷体_GB2312" w:eastAsia="楷体_GB2312" w:cs="楷体_GB2312"/>
                <w:b w:val="0"/>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12</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14501185012</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礼仪素养</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14501185013</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普通话</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14501185014</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社交礼仪</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14501185015</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市场营销</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14501185016</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高职</w:t>
            </w:r>
            <w:r>
              <w:rPr>
                <w:rFonts w:hint="eastAsia" w:ascii="宋体" w:hAnsi="宋体" w:eastAsia="宋体" w:cs="宋体"/>
                <w:color w:val="000000" w:themeColor="text1"/>
                <w:kern w:val="0"/>
                <w:sz w:val="21"/>
                <w:szCs w:val="21"/>
                <w:lang w:val="en-US" w:eastAsia="zh-CN"/>
                <w14:textFill>
                  <w14:solidFill>
                    <w14:schemeClr w14:val="tx1"/>
                  </w14:solidFill>
                </w14:textFill>
              </w:rPr>
              <w:t>数学（拓展）</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14501185017</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高职实用语文（拓展）</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14501185018</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高职英语（拓展）</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19</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14501185019</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信息技术（拓展）</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公</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共    基    础    课</w:t>
            </w: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公共选修课</w:t>
            </w: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14501185020</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思想政治理论（拓展）</w:t>
            </w:r>
          </w:p>
        </w:tc>
        <w:tc>
          <w:tcPr>
            <w:tcW w:w="0" w:type="auto"/>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0" w:type="auto"/>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0" w:type="auto"/>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0" w:type="auto"/>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0" w:type="auto"/>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21</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14501185021</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音乐欣赏</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restart"/>
            <w:vAlign w:val="center"/>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cs="宋体"/>
                <w:b w:val="0"/>
                <w:bCs/>
                <w:color w:val="000000" w:themeColor="text1"/>
                <w:kern w:val="0"/>
                <w:sz w:val="21"/>
                <w:szCs w:val="21"/>
                <w:lang w:val="en-US" w:eastAsia="zh-CN" w:bidi="ar-SA"/>
                <w14:textFill>
                  <w14:solidFill>
                    <w14:schemeClr w14:val="tx1"/>
                  </w14:solidFill>
                </w14:textFill>
              </w:rPr>
              <w:t>美育类课程至少选一门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22</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14501185022</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书画艺术欣赏</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14501185023</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舞蹈</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14501185024</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书法</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25</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14501185025</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体育（足球）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restart"/>
            <w:vAlign w:val="center"/>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cs="宋体"/>
                <w:b w:val="0"/>
                <w:bCs/>
                <w:color w:val="000000" w:themeColor="text1"/>
                <w:kern w:val="0"/>
                <w:sz w:val="21"/>
                <w:szCs w:val="21"/>
                <w:lang w:val="en-US" w:eastAsia="zh-CN" w:bidi="ar-SA"/>
                <w14:textFill>
                  <w14:solidFill>
                    <w14:schemeClr w14:val="tx1"/>
                  </w14:solidFill>
                </w14:textFill>
              </w:rPr>
              <w:t>体育类课程至少选</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一</w:t>
            </w:r>
            <w:r>
              <w:rPr>
                <w:rFonts w:hint="eastAsia" w:cs="宋体"/>
                <w:b w:val="0"/>
                <w:bCs/>
                <w:color w:val="000000" w:themeColor="text1"/>
                <w:kern w:val="0"/>
                <w:sz w:val="21"/>
                <w:szCs w:val="21"/>
                <w:lang w:val="en-US" w:eastAsia="zh-CN" w:bidi="ar-SA"/>
                <w14:textFill>
                  <w14:solidFill>
                    <w14:schemeClr w14:val="tx1"/>
                  </w14:solidFill>
                </w14:textFill>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14501185026</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体育（篮球）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27</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14501185027</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体育（羽毛球）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14501185028</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体育（乒乓球）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29</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14501185029</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体育（排球）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14501185030</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健美操</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42" w:type="dxa"/>
            <w:gridSpan w:val="6"/>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公共选修课小计</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6</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96</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64</w:t>
            </w:r>
          </w:p>
        </w:tc>
        <w:tc>
          <w:tcPr>
            <w:tcW w:w="52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32</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1.5</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1.5</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8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4" w:type="dxa"/>
            <w:vMerge w:val="restart"/>
            <w:textDirection w:val="tbLrV"/>
            <w:vAlign w:val="center"/>
          </w:tcPr>
          <w:p>
            <w:pPr>
              <w:pStyle w:val="84"/>
              <w:ind w:left="113" w:right="113"/>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cs="宋体"/>
                <w:b w:val="0"/>
                <w:bCs w:val="0"/>
                <w:color w:val="000000" w:themeColor="text1"/>
                <w:kern w:val="0"/>
                <w:sz w:val="21"/>
                <w:szCs w:val="21"/>
                <w:lang w:val="en-US" w:eastAsia="zh-CN" w:bidi="ar-SA"/>
                <w14:textFill>
                  <w14:solidFill>
                    <w14:schemeClr w14:val="tx1"/>
                  </w14:solidFill>
                </w14:textFill>
              </w:rPr>
              <w:t>专  业 （技  能） 课</w:t>
            </w: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val="0"/>
                <w:color w:val="000000" w:themeColor="text1"/>
                <w:kern w:val="0"/>
                <w:sz w:val="21"/>
                <w:szCs w:val="21"/>
                <w:lang w:val="en-US" w:eastAsia="zh-CN" w:bidi="ar-SA"/>
                <w14:textFill>
                  <w14:solidFill>
                    <w14:schemeClr w14:val="tx1"/>
                  </w14:solidFill>
                </w14:textFill>
              </w:rPr>
              <w:t>专业必修</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课</w:t>
            </w: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1222"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w:t>
            </w:r>
            <w:bookmarkStart w:id="52" w:name="_GoBack"/>
            <w:bookmarkEnd w:id="52"/>
            <w:r>
              <w:rPr>
                <w:rFonts w:hint="eastAsia" w:ascii="Times New Roman" w:hAnsi="Times New Roman" w:eastAsia="宋体" w:cs="Times New Roman"/>
                <w:sz w:val="18"/>
                <w:szCs w:val="18"/>
                <w:lang w:val="en-US" w:eastAsia="zh-CN"/>
              </w:rPr>
              <w:t>00</w:t>
            </w:r>
          </w:p>
        </w:tc>
        <w:tc>
          <w:tcPr>
            <w:tcW w:w="2259"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工程制图</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top"/>
          </w:tcPr>
          <w:p>
            <w:pPr>
              <w:autoSpaceDN w:val="0"/>
              <w:spacing w:line="340" w:lineRule="exact"/>
              <w:jc w:val="left"/>
              <w:textAlignment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64</w:t>
            </w:r>
          </w:p>
        </w:tc>
        <w:tc>
          <w:tcPr>
            <w:tcW w:w="0" w:type="auto"/>
            <w:vAlign w:val="top"/>
          </w:tcPr>
          <w:p>
            <w:pPr>
              <w:autoSpaceDN w:val="0"/>
              <w:spacing w:line="340" w:lineRule="exact"/>
              <w:jc w:val="left"/>
              <w:textAlignment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32</w:t>
            </w:r>
          </w:p>
        </w:tc>
        <w:tc>
          <w:tcPr>
            <w:tcW w:w="522" w:type="dxa"/>
            <w:vAlign w:val="top"/>
          </w:tcPr>
          <w:p>
            <w:pPr>
              <w:autoSpaceDN w:val="0"/>
              <w:spacing w:line="340" w:lineRule="exact"/>
              <w:jc w:val="left"/>
              <w:textAlignment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32</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４</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cs="宋体"/>
                <w:b w:val="0"/>
                <w:bCs w:val="0"/>
                <w:color w:val="000000" w:themeColor="text1"/>
                <w:kern w:val="0"/>
                <w:sz w:val="21"/>
                <w:szCs w:val="21"/>
                <w:lang w:val="en-US" w:eastAsia="zh-CN" w:bidi="ar-SA"/>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222"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14501161101</w:t>
            </w:r>
          </w:p>
        </w:tc>
        <w:tc>
          <w:tcPr>
            <w:tcW w:w="2259"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工程力学I</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A</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top"/>
          </w:tcPr>
          <w:p>
            <w:pPr>
              <w:autoSpaceDN w:val="0"/>
              <w:spacing w:line="340" w:lineRule="exact"/>
              <w:jc w:val="left"/>
              <w:textAlignment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64</w:t>
            </w:r>
          </w:p>
        </w:tc>
        <w:tc>
          <w:tcPr>
            <w:tcW w:w="0" w:type="auto"/>
            <w:vAlign w:val="top"/>
          </w:tcPr>
          <w:p>
            <w:pPr>
              <w:autoSpaceDN w:val="0"/>
              <w:spacing w:line="340" w:lineRule="exact"/>
              <w:jc w:val="left"/>
              <w:textAlignment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64</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0</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４</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22" w:type="dxa"/>
            <w:vAlign w:val="top"/>
          </w:tcPr>
          <w:p>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14501161102</w:t>
            </w:r>
          </w:p>
        </w:tc>
        <w:tc>
          <w:tcPr>
            <w:tcW w:w="2259" w:type="dxa"/>
            <w:vAlign w:val="top"/>
          </w:tcPr>
          <w:p>
            <w:pP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工程力学</w:t>
            </w:r>
            <w:r>
              <w:rPr>
                <w:rFonts w:hint="default" w:ascii="Times New Roman" w:hAnsi="Times New Roman" w:eastAsia="宋体" w:cs="Times New Roman"/>
                <w:sz w:val="18"/>
                <w:szCs w:val="18"/>
              </w:rPr>
              <w:fldChar w:fldCharType="begin"/>
            </w:r>
            <w:r>
              <w:rPr>
                <w:rFonts w:hint="default" w:ascii="Times New Roman" w:hAnsi="Times New Roman" w:eastAsia="宋体" w:cs="Times New Roman"/>
                <w:sz w:val="18"/>
                <w:szCs w:val="18"/>
              </w:rPr>
              <w:instrText xml:space="preserve"> = 2 \* ROMAN </w:instrText>
            </w:r>
            <w:r>
              <w:rPr>
                <w:rFonts w:hint="default" w:ascii="Times New Roman" w:hAnsi="Times New Roman" w:eastAsia="宋体" w:cs="Times New Roman"/>
                <w:sz w:val="18"/>
                <w:szCs w:val="18"/>
              </w:rPr>
              <w:fldChar w:fldCharType="separate"/>
            </w:r>
            <w:r>
              <w:rPr>
                <w:rFonts w:hint="default" w:ascii="Times New Roman" w:hAnsi="Times New Roman" w:eastAsia="宋体" w:cs="Times New Roman"/>
                <w:sz w:val="18"/>
                <w:szCs w:val="18"/>
              </w:rPr>
              <w:t>II</w:t>
            </w:r>
            <w:r>
              <w:rPr>
                <w:rFonts w:hint="default" w:ascii="Times New Roman" w:hAnsi="Times New Roman" w:eastAsia="宋体" w:cs="Times New Roman"/>
                <w:sz w:val="18"/>
                <w:szCs w:val="18"/>
              </w:rPr>
              <w:fldChar w:fldCharType="end"/>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A</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0" w:type="auto"/>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32</w:t>
            </w:r>
          </w:p>
        </w:tc>
        <w:tc>
          <w:tcPr>
            <w:tcW w:w="0" w:type="auto"/>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32</w:t>
            </w:r>
          </w:p>
        </w:tc>
        <w:tc>
          <w:tcPr>
            <w:tcW w:w="522" w:type="dxa"/>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0</w:t>
            </w:r>
          </w:p>
        </w:tc>
        <w:tc>
          <w:tcPr>
            <w:tcW w:w="583" w:type="dxa"/>
            <w:vAlign w:val="top"/>
          </w:tcPr>
          <w:p>
            <w:pPr>
              <w:rPr>
                <w:rFonts w:hint="eastAsia" w:ascii="仿宋" w:hAnsi="仿宋" w:eastAsia="仿宋" w:cstheme="minorBidi"/>
                <w:kern w:val="2"/>
                <w:sz w:val="21"/>
                <w:szCs w:val="22"/>
                <w:lang w:val="en-US" w:eastAsia="zh-CN" w:bidi="ar-SA"/>
              </w:rPr>
            </w:pPr>
          </w:p>
        </w:tc>
        <w:tc>
          <w:tcPr>
            <w:tcW w:w="583" w:type="dxa"/>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２</w:t>
            </w:r>
          </w:p>
        </w:tc>
        <w:tc>
          <w:tcPr>
            <w:tcW w:w="583" w:type="dxa"/>
            <w:vAlign w:val="top"/>
          </w:tcPr>
          <w:p>
            <w:pPr>
              <w:rPr>
                <w:rFonts w:hint="eastAsia" w:ascii="仿宋" w:hAnsi="仿宋" w:eastAsia="仿宋" w:cstheme="minorBidi"/>
                <w:kern w:val="2"/>
                <w:sz w:val="21"/>
                <w:szCs w:val="22"/>
                <w:lang w:val="en-US" w:eastAsia="zh-CN" w:bidi="ar-SA"/>
              </w:rPr>
            </w:pPr>
          </w:p>
        </w:tc>
        <w:tc>
          <w:tcPr>
            <w:tcW w:w="583" w:type="dxa"/>
            <w:vAlign w:val="top"/>
          </w:tcPr>
          <w:p>
            <w:pPr>
              <w:rPr>
                <w:rFonts w:hint="eastAsia" w:ascii="仿宋" w:hAnsi="仿宋" w:eastAsia="仿宋" w:cstheme="minorBidi"/>
                <w:kern w:val="2"/>
                <w:sz w:val="21"/>
                <w:szCs w:val="22"/>
                <w:lang w:val="en-US" w:eastAsia="zh-CN" w:bidi="ar-SA"/>
              </w:rPr>
            </w:pPr>
          </w:p>
        </w:tc>
        <w:tc>
          <w:tcPr>
            <w:tcW w:w="0" w:type="auto"/>
            <w:vAlign w:val="top"/>
          </w:tcPr>
          <w:p>
            <w:pPr>
              <w:rPr>
                <w:rFonts w:hint="eastAsia" w:ascii="仿宋" w:hAnsi="仿宋" w:eastAsia="仿宋" w:cstheme="minorBidi"/>
                <w:kern w:val="2"/>
                <w:sz w:val="21"/>
                <w:szCs w:val="22"/>
                <w:lang w:val="en-US" w:eastAsia="zh-CN" w:bidi="ar-SA"/>
              </w:rPr>
            </w:pP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22"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14501161103</w:t>
            </w:r>
          </w:p>
        </w:tc>
        <w:tc>
          <w:tcPr>
            <w:tcW w:w="2259" w:type="dxa"/>
            <w:vAlign w:val="top"/>
          </w:tcPr>
          <w:p>
            <w:pP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工程测量</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6</w:t>
            </w:r>
          </w:p>
        </w:tc>
        <w:tc>
          <w:tcPr>
            <w:tcW w:w="0" w:type="auto"/>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96</w:t>
            </w:r>
          </w:p>
        </w:tc>
        <w:tc>
          <w:tcPr>
            <w:tcW w:w="0" w:type="auto"/>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24</w:t>
            </w:r>
          </w:p>
        </w:tc>
        <w:tc>
          <w:tcPr>
            <w:tcW w:w="522" w:type="dxa"/>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72</w:t>
            </w:r>
          </w:p>
        </w:tc>
        <w:tc>
          <w:tcPr>
            <w:tcW w:w="583" w:type="dxa"/>
            <w:vAlign w:val="top"/>
          </w:tcPr>
          <w:p>
            <w:pPr>
              <w:rPr>
                <w:rFonts w:hint="eastAsia" w:ascii="仿宋" w:hAnsi="仿宋" w:eastAsia="仿宋" w:cstheme="minorBidi"/>
                <w:kern w:val="2"/>
                <w:sz w:val="21"/>
                <w:szCs w:val="22"/>
                <w:lang w:val="en-US" w:eastAsia="zh-CN" w:bidi="ar-SA"/>
              </w:rPr>
            </w:pPr>
          </w:p>
        </w:tc>
        <w:tc>
          <w:tcPr>
            <w:tcW w:w="583" w:type="dxa"/>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6</w:t>
            </w:r>
          </w:p>
        </w:tc>
        <w:tc>
          <w:tcPr>
            <w:tcW w:w="583" w:type="dxa"/>
            <w:vAlign w:val="top"/>
          </w:tcPr>
          <w:p>
            <w:pPr>
              <w:rPr>
                <w:rFonts w:hint="eastAsia" w:ascii="仿宋" w:hAnsi="仿宋" w:eastAsia="仿宋" w:cstheme="minorBidi"/>
                <w:kern w:val="2"/>
                <w:sz w:val="21"/>
                <w:szCs w:val="22"/>
                <w:lang w:val="en-US" w:eastAsia="zh-CN" w:bidi="ar-SA"/>
              </w:rPr>
            </w:pPr>
          </w:p>
        </w:tc>
        <w:tc>
          <w:tcPr>
            <w:tcW w:w="583" w:type="dxa"/>
            <w:vAlign w:val="top"/>
          </w:tcPr>
          <w:p>
            <w:pPr>
              <w:rPr>
                <w:rFonts w:hint="eastAsia" w:ascii="仿宋" w:hAnsi="仿宋" w:eastAsia="仿宋" w:cstheme="minorBidi"/>
                <w:kern w:val="2"/>
                <w:sz w:val="21"/>
                <w:szCs w:val="22"/>
                <w:lang w:val="en-US" w:eastAsia="zh-CN" w:bidi="ar-SA"/>
              </w:rPr>
            </w:pPr>
          </w:p>
        </w:tc>
        <w:tc>
          <w:tcPr>
            <w:tcW w:w="0" w:type="auto"/>
            <w:vAlign w:val="top"/>
          </w:tcPr>
          <w:p>
            <w:pPr>
              <w:rPr>
                <w:rFonts w:hint="eastAsia" w:ascii="仿宋" w:hAnsi="仿宋" w:eastAsia="仿宋" w:cstheme="minorBidi"/>
                <w:kern w:val="2"/>
                <w:sz w:val="21"/>
                <w:szCs w:val="22"/>
                <w:lang w:val="en-US" w:eastAsia="zh-CN" w:bidi="ar-SA"/>
              </w:rPr>
            </w:pP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color w:val="000000" w:themeColor="text1"/>
                <w:sz w:val="21"/>
                <w:szCs w:val="21"/>
                <w:vertAlign w:val="baseline"/>
                <w:lang w:val="en-US" w:eastAsia="zh-CN"/>
                <w14:textFill>
                  <w14:solidFill>
                    <w14:schemeClr w14:val="tx1"/>
                  </w14:solidFill>
                </w14:textFill>
              </w:rPr>
              <w:t>C</w:t>
            </w:r>
          </w:p>
        </w:tc>
        <w:tc>
          <w:tcPr>
            <w:tcW w:w="1061" w:type="dxa"/>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22"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14501161104</w:t>
            </w:r>
          </w:p>
        </w:tc>
        <w:tc>
          <w:tcPr>
            <w:tcW w:w="2259"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建筑工程材料</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6</w:t>
            </w: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96</w:t>
            </w: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72</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24</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6</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1222" w:type="dxa"/>
            <w:vAlign w:val="top"/>
          </w:tcPr>
          <w:p>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14501161105</w:t>
            </w:r>
          </w:p>
        </w:tc>
        <w:tc>
          <w:tcPr>
            <w:tcW w:w="2259" w:type="dxa"/>
            <w:vAlign w:val="top"/>
          </w:tcPr>
          <w:p>
            <w:pP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路基路面I</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64</w:t>
            </w:r>
          </w:p>
        </w:tc>
        <w:tc>
          <w:tcPr>
            <w:tcW w:w="0" w:type="auto"/>
            <w:vAlign w:val="top"/>
          </w:tcPr>
          <w:p>
            <w:pPr>
              <w:rPr>
                <w:rFonts w:hint="eastAsia" w:ascii="仿宋" w:hAnsi="仿宋" w:eastAsia="仿宋" w:cstheme="minorBidi"/>
                <w:kern w:val="2"/>
                <w:sz w:val="21"/>
                <w:szCs w:val="22"/>
                <w:lang w:val="en-US" w:eastAsia="zh-CN" w:bidi="ar-SA"/>
              </w:rPr>
            </w:pPr>
            <w:r>
              <w:rPr>
                <w:rFonts w:hint="eastAsia" w:ascii="仿宋" w:hAnsi="仿宋" w:eastAsia="仿宋"/>
                <w:lang w:val="en-US" w:eastAsia="zh-CN"/>
              </w:rPr>
              <w:t>60</w:t>
            </w:r>
          </w:p>
        </w:tc>
        <w:tc>
          <w:tcPr>
            <w:tcW w:w="522" w:type="dxa"/>
            <w:vAlign w:val="top"/>
          </w:tcPr>
          <w:p>
            <w:pPr>
              <w:rPr>
                <w:rFonts w:hint="eastAsia" w:ascii="仿宋" w:hAnsi="仿宋" w:eastAsia="仿宋" w:cstheme="minorBidi"/>
                <w:kern w:val="2"/>
                <w:sz w:val="21"/>
                <w:szCs w:val="22"/>
                <w:lang w:val="en-US" w:eastAsia="zh-CN" w:bidi="ar-SA"/>
              </w:rPr>
            </w:pPr>
            <w:r>
              <w:rPr>
                <w:rFonts w:hint="eastAsia" w:ascii="仿宋" w:hAnsi="仿宋" w:eastAsia="仿宋"/>
                <w:lang w:val="en-US" w:eastAsia="zh-CN"/>
              </w:rPr>
              <w:t>4</w:t>
            </w:r>
          </w:p>
        </w:tc>
        <w:tc>
          <w:tcPr>
            <w:tcW w:w="583" w:type="dxa"/>
            <w:vAlign w:val="top"/>
          </w:tcPr>
          <w:p>
            <w:pPr>
              <w:rPr>
                <w:rFonts w:hint="eastAsia" w:ascii="仿宋" w:hAnsi="仿宋" w:eastAsia="仿宋" w:cstheme="minorBidi"/>
                <w:kern w:val="2"/>
                <w:sz w:val="21"/>
                <w:szCs w:val="22"/>
                <w:lang w:val="en-US" w:eastAsia="zh-CN" w:bidi="ar-SA"/>
              </w:rPr>
            </w:pPr>
          </w:p>
        </w:tc>
        <w:tc>
          <w:tcPr>
            <w:tcW w:w="583" w:type="dxa"/>
            <w:vAlign w:val="top"/>
          </w:tcPr>
          <w:p>
            <w:pPr>
              <w:rPr>
                <w:rFonts w:hint="eastAsia" w:ascii="仿宋" w:hAnsi="仿宋" w:eastAsia="仿宋" w:cstheme="minorBidi"/>
                <w:kern w:val="2"/>
                <w:sz w:val="21"/>
                <w:szCs w:val="22"/>
                <w:lang w:val="en-US" w:eastAsia="zh-CN" w:bidi="ar-SA"/>
              </w:rPr>
            </w:pPr>
          </w:p>
        </w:tc>
        <w:tc>
          <w:tcPr>
            <w:tcW w:w="583" w:type="dxa"/>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４</w:t>
            </w:r>
          </w:p>
        </w:tc>
        <w:tc>
          <w:tcPr>
            <w:tcW w:w="583" w:type="dxa"/>
            <w:vAlign w:val="top"/>
          </w:tcPr>
          <w:p>
            <w:pPr>
              <w:rPr>
                <w:rFonts w:hint="eastAsia" w:ascii="仿宋" w:hAnsi="仿宋" w:eastAsia="仿宋" w:cstheme="minorBidi"/>
                <w:kern w:val="2"/>
                <w:sz w:val="21"/>
                <w:szCs w:val="22"/>
                <w:lang w:val="en-US" w:eastAsia="zh-CN" w:bidi="ar-SA"/>
              </w:rPr>
            </w:pPr>
          </w:p>
        </w:tc>
        <w:tc>
          <w:tcPr>
            <w:tcW w:w="0" w:type="auto"/>
            <w:vAlign w:val="top"/>
          </w:tcPr>
          <w:p>
            <w:pPr>
              <w:rPr>
                <w:rFonts w:hint="eastAsia" w:ascii="仿宋" w:hAnsi="仿宋" w:eastAsia="仿宋" w:cstheme="minorBidi"/>
                <w:kern w:val="2"/>
                <w:sz w:val="21"/>
                <w:szCs w:val="22"/>
                <w:lang w:val="en-US" w:eastAsia="zh-CN" w:bidi="ar-SA"/>
              </w:rPr>
            </w:pP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c>
          <w:tcPr>
            <w:tcW w:w="1222"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14501161106</w:t>
            </w:r>
          </w:p>
        </w:tc>
        <w:tc>
          <w:tcPr>
            <w:tcW w:w="2259"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路基路面II</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64</w:t>
            </w: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50</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14</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４</w:t>
            </w: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1222"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14501161107</w:t>
            </w:r>
          </w:p>
        </w:tc>
        <w:tc>
          <w:tcPr>
            <w:tcW w:w="2259"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城市道路设计</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64</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60</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4</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４</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top"/>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74" w:type="dxa"/>
            <w:vMerge w:val="continue"/>
          </w:tcPr>
          <w:p>
            <w:pPr>
              <w:pStyle w:val="84"/>
              <w:jc w:val="center"/>
              <w:outlineLvl w:val="1"/>
            </w:pPr>
          </w:p>
        </w:tc>
        <w:tc>
          <w:tcPr>
            <w:tcW w:w="475" w:type="dxa"/>
            <w:vMerge w:val="continue"/>
          </w:tcPr>
          <w:p>
            <w:pPr>
              <w:pStyle w:val="84"/>
              <w:jc w:val="center"/>
              <w:outlineLvl w:val="1"/>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22" w:type="dxa"/>
            <w:vAlign w:val="top"/>
          </w:tcPr>
          <w:p>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14501161108</w:t>
            </w:r>
          </w:p>
        </w:tc>
        <w:tc>
          <w:tcPr>
            <w:tcW w:w="2259"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钢筋</w:t>
            </w:r>
            <w:r>
              <w:rPr>
                <w:rFonts w:hint="default" w:ascii="Times New Roman" w:hAnsi="Times New Roman" w:eastAsia="宋体" w:cs="Times New Roman"/>
                <w:sz w:val="18"/>
                <w:szCs w:val="18"/>
                <w:lang w:eastAsia="zh-CN"/>
              </w:rPr>
              <w:t>混凝土</w:t>
            </w:r>
            <w:r>
              <w:rPr>
                <w:rFonts w:hint="default" w:ascii="Times New Roman" w:hAnsi="Times New Roman" w:eastAsia="宋体" w:cs="Times New Roman"/>
                <w:sz w:val="18"/>
                <w:szCs w:val="18"/>
              </w:rPr>
              <w:t>结构</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pStyle w:val="84"/>
              <w:jc w:val="center"/>
              <w:outlineLvl w:val="1"/>
              <w:rPr>
                <w:rFonts w:hint="default" w:ascii="宋体" w:hAnsi="宋体" w:eastAsia="宋体" w:cs="宋体"/>
                <w:b w:val="0"/>
                <w:bCs/>
                <w:i w:val="0"/>
                <w:iCs w:val="0"/>
                <w:color w:val="000000"/>
                <w:kern w:val="0"/>
                <w:sz w:val="21"/>
                <w:szCs w:val="21"/>
                <w:u w:val="none"/>
                <w:lang w:val="en-US" w:eastAsia="zh-CN" w:bidi="ar"/>
              </w:rPr>
            </w:pPr>
            <w:r>
              <w:rPr>
                <w:rFonts w:hint="eastAsia" w:cs="宋体"/>
                <w:b w:val="0"/>
                <w:bCs/>
                <w:i w:val="0"/>
                <w:iCs w:val="0"/>
                <w:color w:val="000000"/>
                <w:kern w:val="0"/>
                <w:sz w:val="21"/>
                <w:szCs w:val="21"/>
                <w:u w:val="none"/>
                <w:lang w:val="en-US" w:eastAsia="zh-CN" w:bidi="ar"/>
              </w:rPr>
              <w:t>4</w:t>
            </w: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64</w:t>
            </w:r>
          </w:p>
        </w:tc>
        <w:tc>
          <w:tcPr>
            <w:tcW w:w="0" w:type="auto"/>
            <w:vAlign w:val="top"/>
          </w:tcPr>
          <w:p>
            <w:pPr>
              <w:autoSpaceDN w:val="0"/>
              <w:spacing w:line="340" w:lineRule="exact"/>
              <w:jc w:val="left"/>
              <w:textAlignment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56</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8</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４</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8" w:type="dxa"/>
          </w:tcPr>
          <w:p>
            <w:pPr>
              <w:pStyle w:val="84"/>
              <w:jc w:val="center"/>
              <w:outlineLvl w:val="1"/>
              <w:rPr>
                <w:rFonts w:hint="eastAsia" w:ascii="宋体" w:hAnsi="宋体" w:eastAsia="宋体" w:cs="宋体"/>
                <w:i w:val="0"/>
                <w:iCs w:val="0"/>
                <w:color w:val="000000"/>
                <w:kern w:val="0"/>
                <w:sz w:val="21"/>
                <w:szCs w:val="21"/>
                <w:u w:val="none"/>
                <w:lang w:val="en-US" w:eastAsia="zh-CN" w:bidi="ar"/>
              </w:rPr>
            </w:pPr>
          </w:p>
        </w:tc>
        <w:tc>
          <w:tcPr>
            <w:tcW w:w="386"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top"/>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74" w:type="dxa"/>
            <w:vMerge w:val="continue"/>
          </w:tcPr>
          <w:p>
            <w:pPr>
              <w:pStyle w:val="84"/>
              <w:jc w:val="center"/>
              <w:outlineLvl w:val="1"/>
              <w:rPr>
                <w:rFonts w:hint="eastAsia" w:ascii="宋体" w:hAnsi="宋体" w:eastAsia="宋体" w:cs="宋体"/>
                <w:i w:val="0"/>
                <w:iCs w:val="0"/>
                <w:color w:val="000000"/>
                <w:kern w:val="0"/>
                <w:sz w:val="21"/>
                <w:szCs w:val="21"/>
                <w:u w:val="none"/>
                <w:lang w:val="en-US" w:eastAsia="zh-CN" w:bidi="ar"/>
              </w:rPr>
            </w:pPr>
          </w:p>
        </w:tc>
        <w:tc>
          <w:tcPr>
            <w:tcW w:w="475" w:type="dxa"/>
            <w:vMerge w:val="continue"/>
          </w:tcPr>
          <w:p>
            <w:pPr>
              <w:pStyle w:val="84"/>
              <w:jc w:val="center"/>
              <w:outlineLvl w:val="1"/>
              <w:rPr>
                <w:rFonts w:hint="eastAsia" w:ascii="宋体" w:hAnsi="宋体" w:eastAsia="宋体" w:cs="宋体"/>
                <w:i w:val="0"/>
                <w:iCs w:val="0"/>
                <w:color w:val="000000"/>
                <w:kern w:val="0"/>
                <w:sz w:val="21"/>
                <w:szCs w:val="21"/>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22"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14501161109</w:t>
            </w:r>
          </w:p>
        </w:tc>
        <w:tc>
          <w:tcPr>
            <w:tcW w:w="2259" w:type="dxa"/>
            <w:vAlign w:val="top"/>
          </w:tcPr>
          <w:p>
            <w:pP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给排水管道工程</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pStyle w:val="84"/>
              <w:jc w:val="center"/>
              <w:outlineLvl w:val="1"/>
              <w:rPr>
                <w:rFonts w:hint="default" w:ascii="宋体" w:hAnsi="宋体" w:eastAsia="宋体" w:cs="宋体"/>
                <w:b w:val="0"/>
                <w:bCs/>
                <w:i w:val="0"/>
                <w:iCs w:val="0"/>
                <w:color w:val="000000"/>
                <w:kern w:val="0"/>
                <w:sz w:val="21"/>
                <w:szCs w:val="21"/>
                <w:u w:val="none"/>
                <w:lang w:val="en-US" w:eastAsia="zh-CN" w:bidi="ar"/>
              </w:rPr>
            </w:pPr>
            <w:r>
              <w:rPr>
                <w:rFonts w:hint="eastAsia" w:cs="宋体"/>
                <w:b w:val="0"/>
                <w:bCs/>
                <w:i w:val="0"/>
                <w:iCs w:val="0"/>
                <w:color w:val="000000"/>
                <w:kern w:val="0"/>
                <w:sz w:val="21"/>
                <w:szCs w:val="21"/>
                <w:u w:val="none"/>
                <w:lang w:val="en-US" w:eastAsia="zh-CN" w:bidi="ar"/>
              </w:rPr>
              <w:t>4</w:t>
            </w:r>
          </w:p>
        </w:tc>
        <w:tc>
          <w:tcPr>
            <w:tcW w:w="0" w:type="auto"/>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64</w:t>
            </w:r>
          </w:p>
        </w:tc>
        <w:tc>
          <w:tcPr>
            <w:tcW w:w="0" w:type="auto"/>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56</w:t>
            </w:r>
          </w:p>
        </w:tc>
        <w:tc>
          <w:tcPr>
            <w:tcW w:w="522" w:type="dxa"/>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8</w:t>
            </w:r>
          </w:p>
        </w:tc>
        <w:tc>
          <w:tcPr>
            <w:tcW w:w="583" w:type="dxa"/>
            <w:vAlign w:val="top"/>
          </w:tcPr>
          <w:p>
            <w:pPr>
              <w:rPr>
                <w:rFonts w:hint="eastAsia" w:ascii="仿宋" w:hAnsi="仿宋" w:eastAsia="仿宋" w:cstheme="minorBidi"/>
                <w:kern w:val="2"/>
                <w:sz w:val="21"/>
                <w:szCs w:val="22"/>
                <w:lang w:val="en-US" w:eastAsia="zh-CN" w:bidi="ar-SA"/>
              </w:rPr>
            </w:pPr>
          </w:p>
        </w:tc>
        <w:tc>
          <w:tcPr>
            <w:tcW w:w="583" w:type="dxa"/>
            <w:vAlign w:val="top"/>
          </w:tcPr>
          <w:p>
            <w:pPr>
              <w:rPr>
                <w:rFonts w:hint="eastAsia" w:ascii="仿宋" w:hAnsi="仿宋" w:eastAsia="仿宋" w:cstheme="minorBidi"/>
                <w:kern w:val="2"/>
                <w:sz w:val="21"/>
                <w:szCs w:val="22"/>
                <w:lang w:val="en-US" w:eastAsia="zh-CN" w:bidi="ar-SA"/>
              </w:rPr>
            </w:pPr>
          </w:p>
        </w:tc>
        <w:tc>
          <w:tcPr>
            <w:tcW w:w="583" w:type="dxa"/>
            <w:vAlign w:val="top"/>
          </w:tcPr>
          <w:p>
            <w:pPr>
              <w:rPr>
                <w:rFonts w:hint="eastAsia" w:ascii="仿宋" w:hAnsi="仿宋" w:eastAsia="仿宋" w:cstheme="minorBidi"/>
                <w:kern w:val="2"/>
                <w:sz w:val="21"/>
                <w:szCs w:val="22"/>
                <w:lang w:val="en-US" w:eastAsia="zh-CN" w:bidi="ar-SA"/>
              </w:rPr>
            </w:pPr>
          </w:p>
        </w:tc>
        <w:tc>
          <w:tcPr>
            <w:tcW w:w="583" w:type="dxa"/>
            <w:vAlign w:val="top"/>
          </w:tcPr>
          <w:p>
            <w:pPr>
              <w:rPr>
                <w:rFonts w:hint="eastAsia" w:ascii="仿宋" w:hAnsi="仿宋" w:eastAsia="仿宋" w:cstheme="minorBidi"/>
                <w:kern w:val="2"/>
                <w:sz w:val="21"/>
                <w:szCs w:val="22"/>
                <w:lang w:val="en-US" w:eastAsia="zh-CN" w:bidi="ar-SA"/>
              </w:rPr>
            </w:pPr>
            <w:r>
              <w:rPr>
                <w:rFonts w:hint="eastAsia" w:ascii="仿宋" w:hAnsi="仿宋" w:eastAsia="仿宋"/>
              </w:rPr>
              <w:t>4</w:t>
            </w:r>
          </w:p>
        </w:tc>
        <w:tc>
          <w:tcPr>
            <w:tcW w:w="0" w:type="auto"/>
            <w:vAlign w:val="top"/>
          </w:tcPr>
          <w:p>
            <w:pPr>
              <w:rPr>
                <w:rFonts w:hint="eastAsia" w:ascii="仿宋" w:hAnsi="仿宋" w:eastAsia="仿宋" w:cstheme="minorBidi"/>
                <w:kern w:val="2"/>
                <w:sz w:val="21"/>
                <w:szCs w:val="22"/>
                <w:lang w:val="en-US" w:eastAsia="zh-CN" w:bidi="ar-SA"/>
              </w:rPr>
            </w:pPr>
          </w:p>
        </w:tc>
        <w:tc>
          <w:tcPr>
            <w:tcW w:w="588" w:type="dxa"/>
          </w:tcPr>
          <w:p>
            <w:pPr>
              <w:pStyle w:val="84"/>
              <w:jc w:val="center"/>
              <w:outlineLvl w:val="1"/>
              <w:rPr>
                <w:rFonts w:hint="eastAsia" w:ascii="宋体" w:hAnsi="宋体" w:eastAsia="宋体" w:cs="宋体"/>
                <w:i w:val="0"/>
                <w:iCs w:val="0"/>
                <w:color w:val="000000"/>
                <w:kern w:val="0"/>
                <w:sz w:val="21"/>
                <w:szCs w:val="21"/>
                <w:u w:val="none"/>
                <w:lang w:val="en-US" w:eastAsia="zh-CN" w:bidi="ar"/>
              </w:rPr>
            </w:pPr>
          </w:p>
        </w:tc>
        <w:tc>
          <w:tcPr>
            <w:tcW w:w="386"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top"/>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22"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14501161110</w:t>
            </w:r>
          </w:p>
        </w:tc>
        <w:tc>
          <w:tcPr>
            <w:tcW w:w="2259"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公路养护与管理</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64</w:t>
            </w: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50</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14</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４</w:t>
            </w: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top"/>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22" w:type="dxa"/>
            <w:vAlign w:val="top"/>
          </w:tcPr>
          <w:p>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14501161111</w:t>
            </w:r>
          </w:p>
        </w:tc>
        <w:tc>
          <w:tcPr>
            <w:tcW w:w="2259"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市政管道工程施工</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top"/>
          </w:tcPr>
          <w:p>
            <w:pPr>
              <w:autoSpaceDN w:val="0"/>
              <w:spacing w:line="340" w:lineRule="exact"/>
              <w:jc w:val="left"/>
              <w:textAlignment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64</w:t>
            </w:r>
          </w:p>
        </w:tc>
        <w:tc>
          <w:tcPr>
            <w:tcW w:w="0" w:type="auto"/>
            <w:vAlign w:val="top"/>
          </w:tcPr>
          <w:p>
            <w:pPr>
              <w:autoSpaceDN w:val="0"/>
              <w:spacing w:line="340" w:lineRule="exact"/>
              <w:jc w:val="left"/>
              <w:textAlignment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48</w:t>
            </w:r>
          </w:p>
        </w:tc>
        <w:tc>
          <w:tcPr>
            <w:tcW w:w="522" w:type="dxa"/>
            <w:vAlign w:val="top"/>
          </w:tcPr>
          <w:p>
            <w:pPr>
              <w:autoSpaceDN w:val="0"/>
              <w:spacing w:line="340" w:lineRule="exact"/>
              <w:jc w:val="left"/>
              <w:textAlignment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16</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４</w:t>
            </w: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top"/>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22"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14501161112</w:t>
            </w:r>
          </w:p>
        </w:tc>
        <w:tc>
          <w:tcPr>
            <w:tcW w:w="2259" w:type="dxa"/>
            <w:vAlign w:val="top"/>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桥梁工程施工</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64</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48</w:t>
            </w:r>
          </w:p>
        </w:tc>
        <w:tc>
          <w:tcPr>
            <w:tcW w:w="522"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16</w:t>
            </w: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583" w:type="dxa"/>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p>
        </w:tc>
        <w:tc>
          <w:tcPr>
            <w:tcW w:w="0" w:type="auto"/>
            <w:vAlign w:val="top"/>
          </w:tcPr>
          <w:p>
            <w:pPr>
              <w:autoSpaceDN w:val="0"/>
              <w:spacing w:line="340" w:lineRule="exact"/>
              <w:jc w:val="left"/>
              <w:textAlignment w:val="center"/>
              <w:rPr>
                <w:rFonts w:hint="eastAsia" w:ascii="仿宋" w:hAnsi="仿宋" w:eastAsia="仿宋" w:cstheme="minorBidi"/>
                <w:kern w:val="2"/>
                <w:sz w:val="21"/>
                <w:szCs w:val="21"/>
                <w:lang w:val="en-US" w:eastAsia="zh-CN" w:bidi="ar-SA"/>
              </w:rPr>
            </w:pPr>
            <w:r>
              <w:rPr>
                <w:rFonts w:hint="eastAsia" w:ascii="仿宋" w:hAnsi="仿宋" w:eastAsia="仿宋"/>
                <w:szCs w:val="21"/>
              </w:rPr>
              <w:t>４</w:t>
            </w:r>
          </w:p>
        </w:tc>
        <w:tc>
          <w:tcPr>
            <w:tcW w:w="588"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top"/>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22" w:type="dxa"/>
            <w:vAlign w:val="center"/>
          </w:tcPr>
          <w:p>
            <w:pPr>
              <w:autoSpaceDN w:val="0"/>
              <w:spacing w:line="340" w:lineRule="exact"/>
              <w:jc w:val="center"/>
              <w:textAlignment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14501163100</w:t>
            </w:r>
          </w:p>
        </w:tc>
        <w:tc>
          <w:tcPr>
            <w:tcW w:w="2259" w:type="dxa"/>
            <w:vAlign w:val="center"/>
          </w:tcPr>
          <w:p>
            <w:pPr>
              <w:autoSpaceDN w:val="0"/>
              <w:spacing w:line="340" w:lineRule="exact"/>
              <w:jc w:val="left"/>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顶岗实习</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C</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26</w:t>
            </w:r>
          </w:p>
        </w:tc>
        <w:tc>
          <w:tcPr>
            <w:tcW w:w="0" w:type="auto"/>
            <w:vAlign w:val="center"/>
          </w:tcPr>
          <w:p>
            <w:pPr>
              <w:autoSpaceDN w:val="0"/>
              <w:spacing w:line="240" w:lineRule="exact"/>
              <w:jc w:val="center"/>
              <w:textAlignment w:val="center"/>
              <w:rPr>
                <w:rFonts w:hint="default" w:ascii="仿宋" w:hAnsi="仿宋" w:eastAsia="仿宋" w:cstheme="minorBidi"/>
                <w:b w:val="0"/>
                <w:bCs/>
                <w:kern w:val="2"/>
                <w:sz w:val="21"/>
                <w:szCs w:val="21"/>
                <w:lang w:val="en-US" w:eastAsia="zh-CN" w:bidi="ar-SA"/>
              </w:rPr>
            </w:pPr>
            <w:r>
              <w:rPr>
                <w:rFonts w:hint="eastAsia" w:ascii="仿宋" w:hAnsi="仿宋" w:eastAsia="仿宋"/>
                <w:b w:val="0"/>
                <w:bCs/>
                <w:szCs w:val="21"/>
                <w:lang w:val="en-US" w:eastAsia="zh-CN"/>
              </w:rPr>
              <w:t>780</w:t>
            </w:r>
          </w:p>
        </w:tc>
        <w:tc>
          <w:tcPr>
            <w:tcW w:w="0" w:type="auto"/>
            <w:vAlign w:val="center"/>
          </w:tcPr>
          <w:p>
            <w:pPr>
              <w:autoSpaceDN w:val="0"/>
              <w:spacing w:line="240" w:lineRule="exact"/>
              <w:jc w:val="center"/>
              <w:textAlignment w:val="center"/>
              <w:rPr>
                <w:rFonts w:hint="eastAsia" w:ascii="仿宋" w:hAnsi="仿宋" w:eastAsia="仿宋" w:cstheme="minorBidi"/>
                <w:b w:val="0"/>
                <w:bCs/>
                <w:kern w:val="2"/>
                <w:sz w:val="21"/>
                <w:szCs w:val="21"/>
                <w:lang w:val="en-US" w:eastAsia="zh-CN" w:bidi="ar-SA"/>
              </w:rPr>
            </w:pPr>
            <w:r>
              <w:rPr>
                <w:rFonts w:hint="eastAsia" w:ascii="仿宋" w:hAnsi="仿宋" w:eastAsia="仿宋"/>
                <w:b w:val="0"/>
                <w:bCs/>
                <w:szCs w:val="21"/>
              </w:rPr>
              <w:t>0</w:t>
            </w:r>
          </w:p>
        </w:tc>
        <w:tc>
          <w:tcPr>
            <w:tcW w:w="522" w:type="dxa"/>
            <w:vAlign w:val="center"/>
          </w:tcPr>
          <w:p>
            <w:pPr>
              <w:autoSpaceDN w:val="0"/>
              <w:spacing w:line="240" w:lineRule="exact"/>
              <w:jc w:val="center"/>
              <w:textAlignment w:val="center"/>
              <w:rPr>
                <w:rFonts w:hint="default" w:ascii="仿宋" w:hAnsi="仿宋" w:eastAsia="仿宋" w:cstheme="minorBidi"/>
                <w:b w:val="0"/>
                <w:bCs/>
                <w:kern w:val="2"/>
                <w:sz w:val="21"/>
                <w:szCs w:val="21"/>
                <w:lang w:val="en-US" w:eastAsia="zh-CN" w:bidi="ar-SA"/>
              </w:rPr>
            </w:pPr>
            <w:r>
              <w:rPr>
                <w:rFonts w:hint="eastAsia" w:ascii="仿宋" w:hAnsi="仿宋" w:eastAsia="仿宋"/>
                <w:b w:val="0"/>
                <w:bCs/>
                <w:szCs w:val="21"/>
                <w:lang w:val="en-US" w:eastAsia="zh-CN"/>
              </w:rPr>
              <w:t>780</w:t>
            </w:r>
          </w:p>
        </w:tc>
        <w:tc>
          <w:tcPr>
            <w:tcW w:w="583" w:type="dxa"/>
            <w:vAlign w:val="center"/>
          </w:tcPr>
          <w:p>
            <w:pPr>
              <w:autoSpaceDN w:val="0"/>
              <w:spacing w:line="240" w:lineRule="exact"/>
              <w:jc w:val="center"/>
              <w:textAlignment w:val="center"/>
              <w:rPr>
                <w:rFonts w:hint="eastAsia" w:ascii="仿宋" w:hAnsi="仿宋" w:eastAsia="仿宋" w:cstheme="minorBidi"/>
                <w:b w:val="0"/>
                <w:bCs/>
                <w:kern w:val="2"/>
                <w:sz w:val="21"/>
                <w:szCs w:val="21"/>
                <w:lang w:val="en-US" w:eastAsia="zh-CN" w:bidi="ar-SA"/>
              </w:rPr>
            </w:pPr>
          </w:p>
        </w:tc>
        <w:tc>
          <w:tcPr>
            <w:tcW w:w="583" w:type="dxa"/>
            <w:vAlign w:val="center"/>
          </w:tcPr>
          <w:p>
            <w:pPr>
              <w:autoSpaceDN w:val="0"/>
              <w:spacing w:line="240" w:lineRule="exact"/>
              <w:jc w:val="center"/>
              <w:textAlignment w:val="center"/>
              <w:rPr>
                <w:rFonts w:hint="eastAsia" w:ascii="仿宋" w:hAnsi="仿宋" w:eastAsia="仿宋" w:cstheme="minorBidi"/>
                <w:b w:val="0"/>
                <w:bCs/>
                <w:kern w:val="2"/>
                <w:sz w:val="21"/>
                <w:szCs w:val="21"/>
                <w:lang w:val="en-US" w:eastAsia="zh-CN" w:bidi="ar-SA"/>
              </w:rPr>
            </w:pPr>
          </w:p>
        </w:tc>
        <w:tc>
          <w:tcPr>
            <w:tcW w:w="583" w:type="dxa"/>
            <w:vAlign w:val="center"/>
          </w:tcPr>
          <w:p>
            <w:pPr>
              <w:autoSpaceDN w:val="0"/>
              <w:spacing w:line="240" w:lineRule="exact"/>
              <w:jc w:val="center"/>
              <w:textAlignment w:val="center"/>
              <w:rPr>
                <w:rFonts w:hint="eastAsia" w:ascii="仿宋" w:hAnsi="仿宋" w:eastAsia="仿宋" w:cstheme="minorBidi"/>
                <w:b w:val="0"/>
                <w:bCs/>
                <w:kern w:val="2"/>
                <w:sz w:val="21"/>
                <w:szCs w:val="21"/>
                <w:lang w:val="en-US" w:eastAsia="zh-CN" w:bidi="ar-SA"/>
              </w:rPr>
            </w:pPr>
          </w:p>
        </w:tc>
        <w:tc>
          <w:tcPr>
            <w:tcW w:w="583" w:type="dxa"/>
            <w:vAlign w:val="center"/>
          </w:tcPr>
          <w:p>
            <w:pPr>
              <w:autoSpaceDN w:val="0"/>
              <w:spacing w:line="240" w:lineRule="exact"/>
              <w:jc w:val="center"/>
              <w:textAlignment w:val="center"/>
              <w:rPr>
                <w:rFonts w:hint="eastAsia" w:ascii="仿宋" w:hAnsi="仿宋" w:eastAsia="仿宋" w:cstheme="minorBidi"/>
                <w:b w:val="0"/>
                <w:bCs/>
                <w:kern w:val="2"/>
                <w:sz w:val="21"/>
                <w:szCs w:val="21"/>
                <w:lang w:val="en-US" w:eastAsia="zh-CN" w:bidi="ar-SA"/>
              </w:rPr>
            </w:pPr>
          </w:p>
        </w:tc>
        <w:tc>
          <w:tcPr>
            <w:tcW w:w="0" w:type="auto"/>
            <w:vAlign w:val="center"/>
          </w:tcPr>
          <w:p>
            <w:pPr>
              <w:autoSpaceDN w:val="0"/>
              <w:spacing w:line="240" w:lineRule="exact"/>
              <w:jc w:val="center"/>
              <w:textAlignment w:val="center"/>
              <w:rPr>
                <w:rFonts w:hint="eastAsia" w:ascii="仿宋" w:hAnsi="仿宋" w:eastAsia="仿宋" w:cstheme="minorBidi"/>
                <w:b w:val="0"/>
                <w:bCs/>
                <w:kern w:val="2"/>
                <w:sz w:val="21"/>
                <w:szCs w:val="21"/>
                <w:lang w:val="en-US" w:eastAsia="zh-CN" w:bidi="ar-SA"/>
              </w:rPr>
            </w:pPr>
          </w:p>
        </w:tc>
        <w:tc>
          <w:tcPr>
            <w:tcW w:w="588" w:type="dxa"/>
            <w:vAlign w:val="center"/>
          </w:tcPr>
          <w:p>
            <w:pPr>
              <w:autoSpaceDN w:val="0"/>
              <w:spacing w:line="240" w:lineRule="exact"/>
              <w:jc w:val="center"/>
              <w:textAlignment w:val="center"/>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30</w:t>
            </w:r>
          </w:p>
        </w:tc>
        <w:tc>
          <w:tcPr>
            <w:tcW w:w="386"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D</w:t>
            </w:r>
          </w:p>
        </w:tc>
        <w:tc>
          <w:tcPr>
            <w:tcW w:w="1061" w:type="dxa"/>
            <w:vAlign w:val="center"/>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p>
        </w:tc>
        <w:tc>
          <w:tcPr>
            <w:tcW w:w="5842" w:type="dxa"/>
            <w:gridSpan w:val="6"/>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专业必修课小计</w:t>
            </w:r>
          </w:p>
        </w:tc>
        <w:tc>
          <w:tcPr>
            <w:tcW w:w="64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80</w:t>
            </w:r>
          </w:p>
        </w:tc>
        <w:tc>
          <w:tcPr>
            <w:tcW w:w="522" w:type="dxa"/>
            <w:vAlign w:val="center"/>
          </w:tcPr>
          <w:p>
            <w:pPr>
              <w:keepNext w:val="0"/>
              <w:keepLines w:val="0"/>
              <w:widowControl/>
              <w:suppressLineNumbers w:val="0"/>
              <w:jc w:val="right"/>
              <w:textAlignment w:val="center"/>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1644</w:t>
            </w:r>
          </w:p>
        </w:tc>
        <w:tc>
          <w:tcPr>
            <w:tcW w:w="522" w:type="dxa"/>
            <w:vAlign w:val="center"/>
          </w:tcPr>
          <w:p>
            <w:pPr>
              <w:keepNext w:val="0"/>
              <w:keepLines w:val="0"/>
              <w:widowControl/>
              <w:suppressLineNumbers w:val="0"/>
              <w:jc w:val="right"/>
              <w:textAlignment w:val="center"/>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652</w:t>
            </w:r>
          </w:p>
        </w:tc>
        <w:tc>
          <w:tcPr>
            <w:tcW w:w="522" w:type="dxa"/>
            <w:vAlign w:val="center"/>
          </w:tcPr>
          <w:p>
            <w:pPr>
              <w:keepNext w:val="0"/>
              <w:keepLines w:val="0"/>
              <w:widowControl/>
              <w:suppressLineNumbers w:val="0"/>
              <w:jc w:val="right"/>
              <w:textAlignment w:val="center"/>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992</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18</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12</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588"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30</w:t>
            </w: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31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pStyle w:val="84"/>
              <w:ind w:left="113" w:right="113"/>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val="0"/>
                <w:color w:val="000000" w:themeColor="text1"/>
                <w:kern w:val="0"/>
                <w:sz w:val="21"/>
                <w:szCs w:val="21"/>
                <w:lang w:val="en-US" w:eastAsia="zh-CN" w:bidi="ar-SA"/>
                <w14:textFill>
                  <w14:solidFill>
                    <w14:schemeClr w14:val="tx1"/>
                  </w14:solidFill>
                </w14:textFill>
              </w:rPr>
              <w:t>专  业 （技  能） 课</w:t>
            </w: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color w:val="000000" w:themeColor="text1"/>
                <w:sz w:val="21"/>
                <w:szCs w:val="21"/>
                <w:vertAlign w:val="baseline"/>
                <w:lang w:val="en-US" w:eastAsia="zh-CN"/>
                <w14:textFill>
                  <w14:solidFill>
                    <w14:schemeClr w14:val="tx1"/>
                  </w14:solidFill>
                </w14:textFill>
              </w:rPr>
              <w:t>专业</w:t>
            </w: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选修课</w:t>
            </w: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1222" w:type="dxa"/>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14501162100</w:t>
            </w:r>
          </w:p>
        </w:tc>
        <w:tc>
          <w:tcPr>
            <w:tcW w:w="2259"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ＣＡＤ制图</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rPr>
              <w:t>64</w:t>
            </w:r>
          </w:p>
        </w:tc>
        <w:tc>
          <w:tcPr>
            <w:tcW w:w="0" w:type="auto"/>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lang w:val="en-US" w:eastAsia="zh-CN"/>
              </w:rPr>
              <w:t>4</w:t>
            </w:r>
          </w:p>
        </w:tc>
        <w:tc>
          <w:tcPr>
            <w:tcW w:w="522" w:type="dxa"/>
            <w:vAlign w:val="center"/>
          </w:tcPr>
          <w:p>
            <w:pPr>
              <w:jc w:val="center"/>
              <w:rPr>
                <w:rFonts w:hint="default" w:ascii="仿宋" w:hAnsi="仿宋" w:eastAsia="仿宋" w:cstheme="minorBidi"/>
                <w:kern w:val="2"/>
                <w:sz w:val="21"/>
                <w:szCs w:val="22"/>
                <w:lang w:val="en-US" w:eastAsia="zh-CN" w:bidi="ar-SA"/>
              </w:rPr>
            </w:pPr>
            <w:r>
              <w:rPr>
                <w:rFonts w:hint="eastAsia" w:ascii="仿宋" w:hAnsi="仿宋" w:eastAsia="仿宋"/>
                <w:lang w:val="en-US" w:eastAsia="zh-CN"/>
              </w:rPr>
              <w:t>60</w:t>
            </w: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rPr>
              <w:t>４</w:t>
            </w: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0" w:type="auto"/>
            <w:vAlign w:val="center"/>
          </w:tcPr>
          <w:p>
            <w:pPr>
              <w:jc w:val="center"/>
              <w:rPr>
                <w:rFonts w:hint="eastAsia" w:ascii="仿宋" w:hAnsi="仿宋" w:eastAsia="仿宋" w:cstheme="minorBidi"/>
                <w:kern w:val="2"/>
                <w:sz w:val="21"/>
                <w:szCs w:val="22"/>
                <w:lang w:val="en-US" w:eastAsia="zh-CN" w:bidi="ar-SA"/>
              </w:rPr>
            </w:pPr>
          </w:p>
        </w:tc>
        <w:tc>
          <w:tcPr>
            <w:tcW w:w="588" w:type="dxa"/>
            <w:vAlign w:val="center"/>
          </w:tcPr>
          <w:p>
            <w:pPr>
              <w:pStyle w:val="84"/>
              <w:jc w:val="center"/>
              <w:outlineLvl w:val="1"/>
              <w:rPr>
                <w:rFonts w:hint="eastAsia" w:ascii="宋体" w:hAnsi="宋体" w:eastAsia="宋体" w:cs="宋体"/>
                <w:b w:val="0"/>
                <w:bCs/>
                <w:color w:val="000000" w:themeColor="text1"/>
                <w:sz w:val="21"/>
                <w:szCs w:val="21"/>
                <w:vertAlign w:val="baseline"/>
                <w14:textFill>
                  <w14:solidFill>
                    <w14:schemeClr w14:val="tx1"/>
                  </w14:solidFill>
                </w14:textFill>
              </w:rPr>
            </w:pPr>
          </w:p>
        </w:tc>
        <w:tc>
          <w:tcPr>
            <w:tcW w:w="386" w:type="dxa"/>
            <w:vAlign w:val="center"/>
          </w:tcPr>
          <w:p>
            <w:pPr>
              <w:pStyle w:val="84"/>
              <w:jc w:val="center"/>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C</w:t>
            </w:r>
          </w:p>
        </w:tc>
        <w:tc>
          <w:tcPr>
            <w:tcW w:w="1061" w:type="dxa"/>
            <w:vAlign w:val="center"/>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222" w:type="dxa"/>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14501162101</w:t>
            </w:r>
          </w:p>
        </w:tc>
        <w:tc>
          <w:tcPr>
            <w:tcW w:w="2259"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工程招投标</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rPr>
              <w:t>64</w:t>
            </w:r>
          </w:p>
        </w:tc>
        <w:tc>
          <w:tcPr>
            <w:tcW w:w="0" w:type="auto"/>
            <w:vAlign w:val="center"/>
          </w:tcPr>
          <w:p>
            <w:pPr>
              <w:jc w:val="center"/>
              <w:rPr>
                <w:rFonts w:hint="default" w:ascii="仿宋" w:hAnsi="仿宋" w:eastAsia="仿宋" w:cstheme="minorBidi"/>
                <w:kern w:val="2"/>
                <w:sz w:val="21"/>
                <w:szCs w:val="22"/>
                <w:lang w:val="en-US" w:eastAsia="zh-CN" w:bidi="ar-SA"/>
              </w:rPr>
            </w:pPr>
            <w:r>
              <w:rPr>
                <w:rFonts w:hint="eastAsia" w:ascii="仿宋" w:hAnsi="仿宋" w:eastAsia="仿宋"/>
                <w:lang w:val="en-US" w:eastAsia="zh-CN"/>
              </w:rPr>
              <w:t>52</w:t>
            </w:r>
          </w:p>
        </w:tc>
        <w:tc>
          <w:tcPr>
            <w:tcW w:w="522" w:type="dxa"/>
            <w:vAlign w:val="center"/>
          </w:tcPr>
          <w:p>
            <w:pPr>
              <w:jc w:val="center"/>
              <w:rPr>
                <w:rFonts w:hint="default" w:ascii="仿宋" w:hAnsi="仿宋" w:eastAsia="仿宋" w:cstheme="minorBidi"/>
                <w:kern w:val="2"/>
                <w:sz w:val="21"/>
                <w:szCs w:val="22"/>
                <w:lang w:val="en-US" w:eastAsia="zh-CN" w:bidi="ar-SA"/>
              </w:rPr>
            </w:pPr>
            <w:r>
              <w:rPr>
                <w:rFonts w:hint="eastAsia" w:ascii="仿宋" w:hAnsi="仿宋" w:eastAsia="仿宋"/>
                <w:lang w:val="en-US" w:eastAsia="zh-CN"/>
              </w:rPr>
              <w:t>12</w:t>
            </w: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rPr>
              <w:t>４</w:t>
            </w:r>
          </w:p>
        </w:tc>
        <w:tc>
          <w:tcPr>
            <w:tcW w:w="0" w:type="auto"/>
            <w:vAlign w:val="center"/>
          </w:tcPr>
          <w:p>
            <w:pPr>
              <w:jc w:val="center"/>
              <w:rPr>
                <w:rFonts w:hint="eastAsia" w:ascii="仿宋" w:hAnsi="仿宋" w:eastAsia="仿宋" w:cstheme="minorBidi"/>
                <w:kern w:val="2"/>
                <w:sz w:val="21"/>
                <w:szCs w:val="22"/>
                <w:lang w:val="en-US" w:eastAsia="zh-CN" w:bidi="ar-SA"/>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center"/>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22" w:type="dxa"/>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14501162102</w:t>
            </w:r>
          </w:p>
        </w:tc>
        <w:tc>
          <w:tcPr>
            <w:tcW w:w="2259"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水处理工程技术</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rPr>
              <w:t>64</w:t>
            </w:r>
          </w:p>
        </w:tc>
        <w:tc>
          <w:tcPr>
            <w:tcW w:w="0" w:type="auto"/>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lang w:val="en-US" w:eastAsia="zh-CN"/>
              </w:rPr>
              <w:t>52</w:t>
            </w:r>
          </w:p>
        </w:tc>
        <w:tc>
          <w:tcPr>
            <w:tcW w:w="522" w:type="dxa"/>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lang w:val="en-US" w:eastAsia="zh-CN"/>
              </w:rPr>
              <w:t>12</w:t>
            </w: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rPr>
              <w:t>4</w:t>
            </w:r>
          </w:p>
        </w:tc>
        <w:tc>
          <w:tcPr>
            <w:tcW w:w="0" w:type="auto"/>
            <w:vAlign w:val="center"/>
          </w:tcPr>
          <w:p>
            <w:pPr>
              <w:jc w:val="center"/>
              <w:rPr>
                <w:rFonts w:hint="eastAsia" w:ascii="仿宋" w:hAnsi="仿宋" w:eastAsia="仿宋" w:cstheme="minorBidi"/>
                <w:kern w:val="2"/>
                <w:sz w:val="21"/>
                <w:szCs w:val="22"/>
                <w:lang w:val="en-US" w:eastAsia="zh-CN" w:bidi="ar-SA"/>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center"/>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22" w:type="dxa"/>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14501162103</w:t>
            </w:r>
          </w:p>
        </w:tc>
        <w:tc>
          <w:tcPr>
            <w:tcW w:w="2259"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市政施工组织与管理</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0" w:type="auto"/>
            <w:vAlign w:val="center"/>
          </w:tcPr>
          <w:p>
            <w:pPr>
              <w:jc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44</w:t>
            </w:r>
          </w:p>
        </w:tc>
        <w:tc>
          <w:tcPr>
            <w:tcW w:w="522" w:type="dxa"/>
            <w:vAlign w:val="center"/>
          </w:tcPr>
          <w:p>
            <w:pPr>
              <w:jc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20</w:t>
            </w:r>
          </w:p>
        </w:tc>
        <w:tc>
          <w:tcPr>
            <w:tcW w:w="583" w:type="dxa"/>
            <w:vAlign w:val="center"/>
          </w:tcPr>
          <w:p>
            <w:pPr>
              <w:jc w:val="center"/>
              <w:rPr>
                <w:rFonts w:hint="eastAsia" w:ascii="仿宋" w:hAnsi="仿宋" w:eastAsia="仿宋" w:cstheme="minorBidi"/>
                <w:kern w:val="2"/>
                <w:sz w:val="21"/>
                <w:szCs w:val="21"/>
                <w:lang w:val="en-US" w:eastAsia="zh-CN" w:bidi="ar-SA"/>
              </w:rPr>
            </w:pPr>
          </w:p>
        </w:tc>
        <w:tc>
          <w:tcPr>
            <w:tcW w:w="583" w:type="dxa"/>
            <w:vAlign w:val="center"/>
          </w:tcPr>
          <w:p>
            <w:pPr>
              <w:jc w:val="center"/>
              <w:rPr>
                <w:rFonts w:hint="eastAsia" w:ascii="仿宋" w:hAnsi="仿宋" w:eastAsia="仿宋" w:cstheme="minorBidi"/>
                <w:kern w:val="2"/>
                <w:sz w:val="21"/>
                <w:szCs w:val="21"/>
                <w:lang w:val="en-US" w:eastAsia="zh-CN" w:bidi="ar-SA"/>
              </w:rPr>
            </w:pPr>
          </w:p>
        </w:tc>
        <w:tc>
          <w:tcPr>
            <w:tcW w:w="583" w:type="dxa"/>
            <w:vAlign w:val="center"/>
          </w:tcPr>
          <w:p>
            <w:pPr>
              <w:jc w:val="center"/>
              <w:rPr>
                <w:rFonts w:hint="eastAsia" w:ascii="仿宋" w:hAnsi="仿宋" w:eastAsia="仿宋" w:cstheme="minorBidi"/>
                <w:kern w:val="2"/>
                <w:sz w:val="21"/>
                <w:szCs w:val="21"/>
                <w:lang w:val="en-US" w:eastAsia="zh-CN" w:bidi="ar-SA"/>
              </w:rPr>
            </w:pPr>
          </w:p>
        </w:tc>
        <w:tc>
          <w:tcPr>
            <w:tcW w:w="583" w:type="dxa"/>
            <w:vAlign w:val="center"/>
          </w:tcPr>
          <w:p>
            <w:pPr>
              <w:jc w:val="center"/>
              <w:rPr>
                <w:rFonts w:hint="eastAsia" w:ascii="仿宋" w:hAnsi="仿宋" w:eastAsia="仿宋" w:cstheme="minorBidi"/>
                <w:kern w:val="2"/>
                <w:sz w:val="21"/>
                <w:szCs w:val="21"/>
                <w:lang w:val="en-US" w:eastAsia="zh-CN" w:bidi="ar-SA"/>
              </w:rPr>
            </w:pPr>
          </w:p>
        </w:tc>
        <w:tc>
          <w:tcPr>
            <w:tcW w:w="0" w:type="auto"/>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szCs w:val="21"/>
              </w:rPr>
              <w:t>４</w:t>
            </w: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center"/>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22" w:type="dxa"/>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14501162104</w:t>
            </w:r>
          </w:p>
        </w:tc>
        <w:tc>
          <w:tcPr>
            <w:tcW w:w="2259"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公路工程概预算</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center"/>
          </w:tcPr>
          <w:p>
            <w:pPr>
              <w:jc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64</w:t>
            </w:r>
          </w:p>
        </w:tc>
        <w:tc>
          <w:tcPr>
            <w:tcW w:w="0" w:type="auto"/>
            <w:vAlign w:val="center"/>
          </w:tcPr>
          <w:p>
            <w:pPr>
              <w:jc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44</w:t>
            </w:r>
          </w:p>
        </w:tc>
        <w:tc>
          <w:tcPr>
            <w:tcW w:w="522" w:type="dxa"/>
            <w:vAlign w:val="center"/>
          </w:tcPr>
          <w:p>
            <w:pPr>
              <w:jc w:val="center"/>
              <w:rPr>
                <w:rFonts w:hint="default" w:ascii="仿宋" w:hAnsi="仿宋" w:eastAsia="仿宋" w:cstheme="minorBidi"/>
                <w:kern w:val="2"/>
                <w:sz w:val="21"/>
                <w:szCs w:val="21"/>
                <w:lang w:val="en-US" w:eastAsia="zh-CN" w:bidi="ar-SA"/>
              </w:rPr>
            </w:pPr>
            <w:r>
              <w:rPr>
                <w:rFonts w:hint="eastAsia" w:ascii="仿宋" w:hAnsi="仿宋" w:eastAsia="仿宋"/>
                <w:szCs w:val="21"/>
                <w:lang w:val="en-US" w:eastAsia="zh-CN"/>
              </w:rPr>
              <w:t>20</w:t>
            </w:r>
          </w:p>
        </w:tc>
        <w:tc>
          <w:tcPr>
            <w:tcW w:w="583" w:type="dxa"/>
            <w:vAlign w:val="center"/>
          </w:tcPr>
          <w:p>
            <w:pPr>
              <w:jc w:val="center"/>
              <w:rPr>
                <w:rFonts w:hint="eastAsia" w:ascii="仿宋" w:hAnsi="仿宋" w:eastAsia="仿宋" w:cstheme="minorBidi"/>
                <w:kern w:val="2"/>
                <w:sz w:val="21"/>
                <w:szCs w:val="21"/>
                <w:lang w:val="en-US" w:eastAsia="zh-CN" w:bidi="ar-SA"/>
              </w:rPr>
            </w:pPr>
          </w:p>
        </w:tc>
        <w:tc>
          <w:tcPr>
            <w:tcW w:w="583" w:type="dxa"/>
            <w:vAlign w:val="center"/>
          </w:tcPr>
          <w:p>
            <w:pPr>
              <w:jc w:val="center"/>
              <w:rPr>
                <w:rFonts w:hint="eastAsia" w:ascii="仿宋" w:hAnsi="仿宋" w:eastAsia="仿宋" w:cstheme="minorBidi"/>
                <w:kern w:val="2"/>
                <w:sz w:val="21"/>
                <w:szCs w:val="21"/>
                <w:lang w:val="en-US" w:eastAsia="zh-CN" w:bidi="ar-SA"/>
              </w:rPr>
            </w:pPr>
          </w:p>
        </w:tc>
        <w:tc>
          <w:tcPr>
            <w:tcW w:w="583" w:type="dxa"/>
            <w:vAlign w:val="center"/>
          </w:tcPr>
          <w:p>
            <w:pPr>
              <w:jc w:val="center"/>
              <w:rPr>
                <w:rFonts w:hint="eastAsia" w:ascii="仿宋" w:hAnsi="仿宋" w:eastAsia="仿宋" w:cstheme="minorBidi"/>
                <w:kern w:val="2"/>
                <w:sz w:val="21"/>
                <w:szCs w:val="21"/>
                <w:lang w:val="en-US" w:eastAsia="zh-CN" w:bidi="ar-SA"/>
              </w:rPr>
            </w:pPr>
          </w:p>
        </w:tc>
        <w:tc>
          <w:tcPr>
            <w:tcW w:w="583" w:type="dxa"/>
            <w:vAlign w:val="center"/>
          </w:tcPr>
          <w:p>
            <w:pPr>
              <w:jc w:val="center"/>
              <w:rPr>
                <w:rFonts w:hint="eastAsia" w:ascii="仿宋" w:hAnsi="仿宋" w:eastAsia="仿宋" w:cstheme="minorBidi"/>
                <w:kern w:val="2"/>
                <w:sz w:val="21"/>
                <w:szCs w:val="21"/>
                <w:lang w:val="en-US" w:eastAsia="zh-CN" w:bidi="ar-SA"/>
              </w:rPr>
            </w:pPr>
          </w:p>
        </w:tc>
        <w:tc>
          <w:tcPr>
            <w:tcW w:w="0" w:type="auto"/>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szCs w:val="21"/>
              </w:rPr>
              <w:t>4</w:t>
            </w: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center"/>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1222" w:type="dxa"/>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14501162105</w:t>
            </w:r>
          </w:p>
        </w:tc>
        <w:tc>
          <w:tcPr>
            <w:tcW w:w="2259"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市政工程施工监理与质量检测</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0" w:type="auto"/>
            <w:vAlign w:val="center"/>
          </w:tcPr>
          <w:p>
            <w:pPr>
              <w:jc w:val="center"/>
              <w:rPr>
                <w:rFonts w:hint="default" w:ascii="仿宋" w:hAnsi="仿宋" w:eastAsia="仿宋" w:cstheme="minorBidi"/>
                <w:kern w:val="2"/>
                <w:sz w:val="21"/>
                <w:szCs w:val="22"/>
                <w:lang w:val="en-US" w:eastAsia="zh-CN" w:bidi="ar-SA"/>
              </w:rPr>
            </w:pPr>
            <w:r>
              <w:rPr>
                <w:rFonts w:hint="eastAsia" w:ascii="仿宋" w:hAnsi="仿宋" w:eastAsia="仿宋"/>
                <w:lang w:val="en-US" w:eastAsia="zh-CN"/>
              </w:rPr>
              <w:t>64</w:t>
            </w:r>
          </w:p>
        </w:tc>
        <w:tc>
          <w:tcPr>
            <w:tcW w:w="0" w:type="auto"/>
            <w:vAlign w:val="center"/>
          </w:tcPr>
          <w:p>
            <w:pPr>
              <w:jc w:val="center"/>
              <w:rPr>
                <w:rFonts w:hint="default" w:ascii="仿宋" w:hAnsi="仿宋" w:eastAsia="仿宋" w:cstheme="minorBidi"/>
                <w:kern w:val="2"/>
                <w:sz w:val="21"/>
                <w:szCs w:val="22"/>
                <w:lang w:val="en-US" w:eastAsia="zh-CN" w:bidi="ar-SA"/>
              </w:rPr>
            </w:pPr>
            <w:r>
              <w:rPr>
                <w:rFonts w:hint="eastAsia" w:ascii="仿宋" w:hAnsi="仿宋" w:eastAsia="仿宋"/>
                <w:lang w:val="en-US" w:eastAsia="zh-CN"/>
              </w:rPr>
              <w:t>40</w:t>
            </w:r>
          </w:p>
        </w:tc>
        <w:tc>
          <w:tcPr>
            <w:tcW w:w="522" w:type="dxa"/>
            <w:vAlign w:val="center"/>
          </w:tcPr>
          <w:p>
            <w:pPr>
              <w:jc w:val="center"/>
              <w:rPr>
                <w:rFonts w:hint="default" w:ascii="仿宋" w:hAnsi="仿宋" w:eastAsia="仿宋" w:cstheme="minorBidi"/>
                <w:kern w:val="2"/>
                <w:sz w:val="21"/>
                <w:szCs w:val="22"/>
                <w:lang w:val="en-US" w:eastAsia="zh-CN" w:bidi="ar-SA"/>
              </w:rPr>
            </w:pPr>
            <w:r>
              <w:rPr>
                <w:rFonts w:hint="eastAsia" w:ascii="仿宋" w:hAnsi="仿宋" w:eastAsia="仿宋"/>
                <w:lang w:val="en-US" w:eastAsia="zh-CN"/>
              </w:rPr>
              <w:t>24</w:t>
            </w: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583" w:type="dxa"/>
            <w:vAlign w:val="center"/>
          </w:tcPr>
          <w:p>
            <w:pPr>
              <w:jc w:val="center"/>
              <w:rPr>
                <w:rFonts w:hint="eastAsia" w:ascii="仿宋" w:hAnsi="仿宋" w:eastAsia="仿宋" w:cstheme="minorBidi"/>
                <w:kern w:val="2"/>
                <w:sz w:val="21"/>
                <w:szCs w:val="22"/>
                <w:lang w:val="en-US" w:eastAsia="zh-CN" w:bidi="ar-SA"/>
              </w:rPr>
            </w:pPr>
          </w:p>
        </w:tc>
        <w:tc>
          <w:tcPr>
            <w:tcW w:w="0" w:type="auto"/>
            <w:vAlign w:val="center"/>
          </w:tcPr>
          <w:p>
            <w:pPr>
              <w:jc w:val="center"/>
              <w:rPr>
                <w:rFonts w:hint="eastAsia" w:ascii="仿宋" w:hAnsi="仿宋" w:eastAsia="仿宋" w:cstheme="minorBidi"/>
                <w:kern w:val="2"/>
                <w:sz w:val="21"/>
                <w:szCs w:val="22"/>
                <w:lang w:val="en-US" w:eastAsia="zh-CN" w:bidi="ar-SA"/>
              </w:rPr>
            </w:pPr>
            <w:r>
              <w:rPr>
                <w:rFonts w:hint="eastAsia" w:ascii="仿宋" w:hAnsi="仿宋" w:eastAsia="仿宋"/>
              </w:rPr>
              <w:t>4</w:t>
            </w: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B</w:t>
            </w:r>
          </w:p>
        </w:tc>
        <w:tc>
          <w:tcPr>
            <w:tcW w:w="1061" w:type="dxa"/>
            <w:vAlign w:val="center"/>
          </w:tcPr>
          <w:p>
            <w:pPr>
              <w:pStyle w:val="84"/>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市政工程系</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42" w:type="dxa"/>
            <w:gridSpan w:val="6"/>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专业选修课小计</w:t>
            </w:r>
          </w:p>
        </w:tc>
        <w:tc>
          <w:tcPr>
            <w:tcW w:w="64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24</w:t>
            </w:r>
          </w:p>
        </w:tc>
        <w:tc>
          <w:tcPr>
            <w:tcW w:w="522" w:type="dxa"/>
            <w:vAlign w:val="center"/>
          </w:tcPr>
          <w:p>
            <w:pPr>
              <w:keepNext w:val="0"/>
              <w:keepLines w:val="0"/>
              <w:widowControl/>
              <w:suppressLineNumbers w:val="0"/>
              <w:jc w:val="right"/>
              <w:textAlignment w:val="center"/>
              <w:rPr>
                <w:rFonts w:hint="eastAsia" w:ascii="仿宋" w:hAnsi="仿宋" w:eastAsia="仿宋" w:cstheme="minorBidi"/>
                <w:b/>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384</w:t>
            </w:r>
          </w:p>
        </w:tc>
        <w:tc>
          <w:tcPr>
            <w:tcW w:w="522" w:type="dxa"/>
            <w:vAlign w:val="center"/>
          </w:tcPr>
          <w:p>
            <w:pPr>
              <w:keepNext w:val="0"/>
              <w:keepLines w:val="0"/>
              <w:widowControl/>
              <w:suppressLineNumbers w:val="0"/>
              <w:jc w:val="right"/>
              <w:textAlignment w:val="center"/>
              <w:rPr>
                <w:rFonts w:hint="default" w:ascii="仿宋" w:hAnsi="仿宋" w:eastAsia="仿宋" w:cstheme="minorBidi"/>
                <w:b/>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236</w:t>
            </w:r>
          </w:p>
        </w:tc>
        <w:tc>
          <w:tcPr>
            <w:tcW w:w="522" w:type="dxa"/>
            <w:vAlign w:val="center"/>
          </w:tcPr>
          <w:p>
            <w:pPr>
              <w:keepNext w:val="0"/>
              <w:keepLines w:val="0"/>
              <w:widowControl/>
              <w:suppressLineNumbers w:val="0"/>
              <w:jc w:val="right"/>
              <w:textAlignment w:val="center"/>
              <w:rPr>
                <w:rFonts w:hint="default" w:ascii="仿宋" w:hAnsi="仿宋" w:eastAsia="仿宋" w:cstheme="minorBidi"/>
                <w:b/>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12</w:t>
            </w:r>
          </w:p>
        </w:tc>
        <w:tc>
          <w:tcPr>
            <w:tcW w:w="58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31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24" w:type="dxa"/>
            <w:gridSpan w:val="11"/>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平均周学时</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26</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27.5</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23.5</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23</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21</w:t>
            </w:r>
          </w:p>
        </w:tc>
        <w:tc>
          <w:tcPr>
            <w:tcW w:w="588"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30</w:t>
            </w: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31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学分总计、学时总计</w:t>
            </w:r>
          </w:p>
        </w:tc>
        <w:tc>
          <w:tcPr>
            <w:tcW w:w="2208"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152</w:t>
            </w:r>
          </w:p>
        </w:tc>
        <w:tc>
          <w:tcPr>
            <w:tcW w:w="2332"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2826</w:t>
            </w:r>
          </w:p>
        </w:tc>
        <w:tc>
          <w:tcPr>
            <w:tcW w:w="2618"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w:t>
            </w:r>
          </w:p>
        </w:tc>
        <w:tc>
          <w:tcPr>
            <w:tcW w:w="1312"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选修课程：学分总计、学时总计、占总学时比例</w:t>
            </w:r>
          </w:p>
        </w:tc>
        <w:tc>
          <w:tcPr>
            <w:tcW w:w="2208"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30</w:t>
            </w:r>
          </w:p>
        </w:tc>
        <w:tc>
          <w:tcPr>
            <w:tcW w:w="2332"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480</w:t>
            </w:r>
          </w:p>
        </w:tc>
        <w:tc>
          <w:tcPr>
            <w:tcW w:w="2618" w:type="dxa"/>
            <w:gridSpan w:val="4"/>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17%</w:t>
            </w:r>
          </w:p>
        </w:tc>
        <w:tc>
          <w:tcPr>
            <w:tcW w:w="131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实践性教学：学时总计、占总学时比例</w:t>
            </w:r>
          </w:p>
        </w:tc>
        <w:tc>
          <w:tcPr>
            <w:tcW w:w="2208"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w:t>
            </w:r>
          </w:p>
        </w:tc>
        <w:tc>
          <w:tcPr>
            <w:tcW w:w="2332"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1444</w:t>
            </w:r>
          </w:p>
        </w:tc>
        <w:tc>
          <w:tcPr>
            <w:tcW w:w="2618" w:type="dxa"/>
            <w:gridSpan w:val="4"/>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51.1%</w:t>
            </w:r>
          </w:p>
        </w:tc>
        <w:tc>
          <w:tcPr>
            <w:tcW w:w="1312"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786" w:type="dxa"/>
            <w:gridSpan w:val="20"/>
          </w:tcPr>
          <w:p>
            <w:pPr>
              <w:widowControl/>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注：</w:t>
            </w:r>
            <w:r>
              <w:rPr>
                <w:rFonts w:hint="eastAsia" w:ascii="宋体" w:hAnsi="宋体" w:eastAsia="宋体" w:cs="宋体"/>
                <w:bCs/>
                <w:color w:val="000000" w:themeColor="text1"/>
                <w:kern w:val="0"/>
                <w:sz w:val="21"/>
                <w:szCs w:val="21"/>
                <w14:textFill>
                  <w14:solidFill>
                    <w14:schemeClr w14:val="tx1"/>
                  </w14:solidFill>
                </w14:textFill>
              </w:rPr>
              <w:t>1.课堂教学周=教学活动周数（不小于20周）-实践教学周数；</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2.平均周学时仅为校核各学期周学时均衡度；</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3.W表示C类课程、军训训练、劳动安全教育、考试、毕业鉴定等的周数；</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4.岗位实习可在</w:t>
            </w:r>
            <w:r>
              <w:rPr>
                <w:rFonts w:hint="eastAsia" w:ascii="宋体" w:hAnsi="宋体" w:eastAsia="宋体" w:cs="宋体"/>
                <w:bCs/>
                <w:color w:val="000000" w:themeColor="text1"/>
                <w:kern w:val="0"/>
                <w:sz w:val="21"/>
                <w:szCs w:val="21"/>
                <w:lang w:val="en-US" w:eastAsia="zh-CN"/>
                <w14:textFill>
                  <w14:solidFill>
                    <w14:schemeClr w14:val="tx1"/>
                  </w14:solidFill>
                </w14:textFill>
              </w:rPr>
              <w:t>5</w:t>
            </w: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6</w:t>
            </w:r>
            <w:r>
              <w:rPr>
                <w:rFonts w:hint="eastAsia" w:ascii="宋体" w:hAnsi="宋体" w:eastAsia="宋体" w:cs="宋体"/>
                <w:bCs/>
                <w:color w:val="000000" w:themeColor="text1"/>
                <w:kern w:val="0"/>
                <w:sz w:val="21"/>
                <w:szCs w:val="21"/>
                <w14:textFill>
                  <w14:solidFill>
                    <w14:schemeClr w14:val="tx1"/>
                  </w14:solidFill>
                </w14:textFill>
              </w:rPr>
              <w:t>学期分段安排，累计不少于6个月（26周）；</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5.选修课中明确各项工作和学分的转换。</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6.标注★的为专业核心课程。</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7.</w:t>
            </w:r>
            <w:r>
              <w:rPr>
                <w:rFonts w:hint="eastAsia" w:ascii="宋体" w:hAnsi="宋体" w:eastAsia="宋体" w:cs="宋体"/>
                <w:bCs/>
                <w:color w:val="000000" w:themeColor="text1"/>
                <w:kern w:val="0"/>
                <w:sz w:val="21"/>
                <w:szCs w:val="21"/>
                <w:lang w:val="en-US" w:eastAsia="zh-CN"/>
                <w14:textFill>
                  <w14:solidFill>
                    <w14:schemeClr w14:val="tx1"/>
                  </w14:solidFill>
                </w14:textFill>
              </w:rPr>
              <w:t xml:space="preserve">“课程类型”（A）理论课   （B）理论+实践    （C）实践课； </w:t>
            </w:r>
          </w:p>
          <w:p>
            <w:pPr>
              <w:widowControl/>
              <w:ind w:firstLine="630" w:firstLineChars="300"/>
              <w:jc w:val="left"/>
              <w:textAlignment w:val="top"/>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“课程考核”：（A）开卷考试   （B）闭卷考试  （C）实践考核  （D）实习鉴定  （E）报告评定</w:t>
            </w:r>
          </w:p>
        </w:tc>
      </w:tr>
    </w:tbl>
    <w:p>
      <w:pPr>
        <w:pStyle w:val="84"/>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p>
    <w:p>
      <w:pPr>
        <w:pStyle w:val="84"/>
        <w:outlineLvl w:val="1"/>
        <w:rPr>
          <w:rFonts w:hint="eastAsia" w:ascii="楷体_GB2312" w:hAnsi="楷体_GB2312" w:eastAsia="楷体_GB2312" w:cs="楷体_GB2312"/>
          <w:b w:val="0"/>
          <w:bCs/>
          <w:color w:val="000000" w:themeColor="text1"/>
          <w:sz w:val="28"/>
          <w:szCs w:val="28"/>
          <w14:textFill>
            <w14:solidFill>
              <w14:schemeClr w14:val="tx1"/>
            </w14:solidFill>
          </w14:textFill>
        </w:rPr>
        <w:sectPr>
          <w:headerReference r:id="rId5" w:type="default"/>
          <w:footerReference r:id="rId6" w:type="default"/>
          <w:pgSz w:w="16838" w:h="11906" w:orient="landscape"/>
          <w:pgMar w:top="1418" w:right="1134" w:bottom="244" w:left="1134" w:header="964" w:footer="1304" w:gutter="0"/>
          <w:pgNumType w:fmt="decimal"/>
          <w:cols w:space="720" w:num="1"/>
          <w:docGrid w:linePitch="312" w:charSpace="0"/>
        </w:sectPr>
      </w:pPr>
    </w:p>
    <w:bookmarkEnd w:id="34"/>
    <w:bookmarkEnd w:id="35"/>
    <w:p>
      <w:pPr>
        <w:pStyle w:val="35"/>
        <w:keepNext w:val="0"/>
        <w:keepLines w:val="0"/>
        <w:pageBreakBefore w:val="0"/>
        <w:widowControl w:val="0"/>
        <w:kinsoku/>
        <w:wordWrap/>
        <w:overflowPunct/>
        <w:topLinePunct w:val="0"/>
        <w:autoSpaceDE/>
        <w:autoSpaceDN/>
        <w:bidi w:val="0"/>
        <w:adjustRightInd/>
        <w:snapToGrid w:val="0"/>
        <w:spacing w:line="480" w:lineRule="exact"/>
        <w:ind w:left="279" w:leftChars="133" w:firstLine="280" w:firstLineChars="100"/>
        <w:textAlignment w:val="auto"/>
        <w:outlineLvl w:val="0"/>
        <w:rPr>
          <w:rFonts w:hint="eastAsia" w:ascii="黑体" w:hAnsi="黑体" w:eastAsia="黑体" w:cs="黑体"/>
          <w:b w:val="0"/>
          <w:bCs/>
          <w:color w:val="000000" w:themeColor="text1"/>
          <w:sz w:val="28"/>
          <w:szCs w:val="28"/>
          <w14:textFill>
            <w14:solidFill>
              <w14:schemeClr w14:val="tx1"/>
            </w14:solidFill>
          </w14:textFill>
        </w:rPr>
      </w:pPr>
      <w:bookmarkStart w:id="40" w:name="_Toc31424"/>
      <w:bookmarkStart w:id="41" w:name="_Toc38201841"/>
      <w:bookmarkStart w:id="42" w:name="_Toc38299254"/>
      <w:bookmarkStart w:id="43" w:name="_Hlk98766987"/>
      <w:r>
        <w:rPr>
          <w:rFonts w:hint="eastAsia" w:ascii="黑体" w:hAnsi="黑体" w:eastAsia="黑体" w:cs="黑体"/>
          <w:b w:val="0"/>
          <w:bCs/>
          <w:color w:val="000000" w:themeColor="text1"/>
          <w:sz w:val="28"/>
          <w:szCs w:val="28"/>
          <w:lang w:val="en-US" w:eastAsia="zh-CN"/>
          <w14:textFill>
            <w14:solidFill>
              <w14:schemeClr w14:val="tx1"/>
            </w14:solidFill>
          </w14:textFill>
        </w:rPr>
        <w:t>八、</w:t>
      </w:r>
      <w:r>
        <w:rPr>
          <w:rFonts w:hint="eastAsia" w:ascii="黑体" w:hAnsi="黑体" w:eastAsia="黑体" w:cs="黑体"/>
          <w:b w:val="0"/>
          <w:bCs/>
          <w:color w:val="000000" w:themeColor="text1"/>
          <w:sz w:val="28"/>
          <w:szCs w:val="28"/>
          <w14:textFill>
            <w14:solidFill>
              <w14:schemeClr w14:val="tx1"/>
            </w14:solidFill>
          </w14:textFill>
        </w:rPr>
        <w:t>实施与保障</w:t>
      </w:r>
      <w:bookmarkEnd w:id="40"/>
      <w:bookmarkEnd w:id="41"/>
      <w:bookmarkEnd w:id="42"/>
    </w:p>
    <w:bookmarkEnd w:id="43"/>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44" w:name="_Toc25638"/>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师资队伍</w:t>
      </w:r>
      <w:bookmarkEnd w:id="44"/>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专业带头人</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专业带头人具有副高及以上职称，能够较好地把握国内外</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建筑工程、市政工程</w:t>
      </w:r>
      <w:r>
        <w:rPr>
          <w:rFonts w:hint="eastAsia" w:ascii="仿宋_GB2312" w:hAnsi="仿宋_GB2312" w:eastAsia="仿宋_GB2312" w:cs="仿宋_GB2312"/>
          <w:bCs/>
          <w:color w:val="000000" w:themeColor="text1"/>
          <w:sz w:val="28"/>
          <w:szCs w:val="28"/>
          <w14:textFill>
            <w14:solidFill>
              <w14:schemeClr w14:val="tx1"/>
            </w14:solidFill>
          </w14:textFill>
        </w:rPr>
        <w:t>行业、专业发展，能广泛联系行业企业，了解行业企业对本专业人才的需求实际，教学设计、专业研究能力强，组织开展教科研工作能力强，在本区域或本领域具有一定的专业影响力。</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骨干教师</w:t>
      </w:r>
    </w:p>
    <w:p>
      <w:pPr>
        <w:snapToGrid w:val="0"/>
        <w:spacing w:line="480" w:lineRule="exact"/>
        <w:ind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专任教师具有高校教师资格；有理想情操、有扎实学识、有仁爱之心；具有</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土木工程</w:t>
      </w:r>
      <w:r>
        <w:rPr>
          <w:rFonts w:hint="eastAsia" w:ascii="仿宋_GB2312" w:hAnsi="仿宋_GB2312" w:eastAsia="仿宋_GB2312" w:cs="仿宋_GB2312"/>
          <w:bCs/>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给排水工程、市政工程</w:t>
      </w:r>
      <w:r>
        <w:rPr>
          <w:rFonts w:hint="eastAsia" w:ascii="仿宋_GB2312" w:hAnsi="仿宋_GB2312" w:eastAsia="仿宋_GB2312" w:cs="仿宋_GB2312"/>
          <w:bCs/>
          <w:color w:val="000000" w:themeColor="text1"/>
          <w:sz w:val="28"/>
          <w:szCs w:val="28"/>
          <w14:textFill>
            <w14:solidFill>
              <w14:schemeClr w14:val="tx1"/>
            </w14:solidFill>
          </w14:textFill>
        </w:rPr>
        <w:t>及</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建筑工程</w:t>
      </w:r>
      <w:r>
        <w:rPr>
          <w:rFonts w:hint="eastAsia" w:ascii="仿宋_GB2312" w:hAnsi="仿宋_GB2312" w:eastAsia="仿宋_GB2312" w:cs="仿宋_GB2312"/>
          <w:bCs/>
          <w:color w:val="000000" w:themeColor="text1"/>
          <w:sz w:val="28"/>
          <w:szCs w:val="28"/>
          <w14:textFill>
            <w14:solidFill>
              <w14:schemeClr w14:val="tx1"/>
            </w14:solidFill>
          </w14:textFill>
        </w:rPr>
        <w:t>等相关专业本科及以上学历；具有扎实的本专业相关理论功底和实践能力；具有较强信息化教学能力，能够开展课程教学改革和科学研究。</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兼职教师</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兼职教师主要从本专业相关的行业企业聘任，具备良好的思想政治素质、职业道德和工匠精神，具有扎实的专业知识和丰富的实际工作经验，具有中级及以上相关专业职称，能承担专业课教学、实习实训指导和学生职业发展规划指导等教学任务。</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45" w:name="_Toc31426"/>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教学设施</w:t>
      </w:r>
      <w:bookmarkEnd w:id="45"/>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校内实践教学条件</w:t>
      </w:r>
    </w:p>
    <w:p>
      <w:pPr>
        <w:snapToGrid w:val="0"/>
        <w:spacing w:line="480" w:lineRule="exact"/>
        <w:ind w:firstLine="560" w:firstLineChars="200"/>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根据培养目标，使学生理论与实际更好的结合，学院结合专业设置了实训室，并配备了相应的实训仪器设备</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本专业现有实训室</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14:textFill>
            <w14:solidFill>
              <w14:schemeClr w14:val="tx1"/>
            </w14:solidFill>
          </w14:textFill>
        </w:rPr>
        <w:t>个</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p>
    <w:tbl>
      <w:tblPr>
        <w:tblStyle w:val="2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72"/>
        <w:gridCol w:w="435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序号</w:t>
            </w:r>
          </w:p>
        </w:tc>
        <w:tc>
          <w:tcPr>
            <w:tcW w:w="1572"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名称</w:t>
            </w:r>
          </w:p>
        </w:tc>
        <w:tc>
          <w:tcPr>
            <w:tcW w:w="4352"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主要设备</w:t>
            </w:r>
          </w:p>
        </w:tc>
        <w:tc>
          <w:tcPr>
            <w:tcW w:w="2037" w:type="dxa"/>
            <w:shd w:val="clear" w:color="auto" w:fill="auto"/>
            <w:vAlign w:val="center"/>
          </w:tcPr>
          <w:p>
            <w:pPr>
              <w:snapToGrid w:val="0"/>
              <w:spacing w:line="520" w:lineRule="exact"/>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服务本专业课程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1</w:t>
            </w:r>
          </w:p>
        </w:tc>
        <w:tc>
          <w:tcPr>
            <w:tcW w:w="1572"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建筑材料实训室</w:t>
            </w:r>
          </w:p>
        </w:tc>
        <w:tc>
          <w:tcPr>
            <w:tcW w:w="4352"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水泥净浆搅拌机</w:t>
            </w:r>
            <w:r>
              <w:rPr>
                <w:rFonts w:hint="eastAsia" w:ascii="宋体" w:hAnsi="宋体" w:eastAsia="宋体" w:cs="宋体"/>
                <w:szCs w:val="21"/>
                <w:lang w:eastAsia="zh-CN"/>
              </w:rPr>
              <w:t>、</w:t>
            </w:r>
            <w:r>
              <w:rPr>
                <w:rFonts w:hint="eastAsia" w:ascii="宋体" w:hAnsi="宋体" w:eastAsia="宋体" w:cs="宋体"/>
                <w:szCs w:val="21"/>
              </w:rPr>
              <w:t>砂浆搅拌机</w:t>
            </w:r>
            <w:r>
              <w:rPr>
                <w:rFonts w:hint="eastAsia" w:ascii="宋体" w:hAnsi="宋体" w:eastAsia="宋体" w:cs="宋体"/>
                <w:szCs w:val="21"/>
                <w:lang w:eastAsia="zh-CN"/>
              </w:rPr>
              <w:t>、</w:t>
            </w:r>
            <w:r>
              <w:rPr>
                <w:rFonts w:hint="eastAsia" w:ascii="宋体" w:hAnsi="宋体" w:eastAsia="宋体" w:cs="宋体"/>
                <w:szCs w:val="21"/>
              </w:rPr>
              <w:t>电子磅秤</w:t>
            </w:r>
            <w:r>
              <w:rPr>
                <w:rFonts w:hint="eastAsia" w:ascii="宋体" w:hAnsi="宋体" w:eastAsia="宋体" w:cs="宋体"/>
                <w:szCs w:val="21"/>
                <w:lang w:eastAsia="zh-CN"/>
              </w:rPr>
              <w:t>、</w:t>
            </w:r>
            <w:r>
              <w:rPr>
                <w:rFonts w:hint="eastAsia" w:ascii="宋体" w:hAnsi="宋体" w:eastAsia="宋体" w:cs="宋体"/>
                <w:szCs w:val="21"/>
              </w:rPr>
              <w:t>维勃稠度仪</w:t>
            </w:r>
            <w:r>
              <w:rPr>
                <w:rFonts w:hint="eastAsia" w:ascii="宋体" w:hAnsi="宋体" w:eastAsia="宋体" w:cs="宋体"/>
                <w:szCs w:val="21"/>
                <w:lang w:eastAsia="zh-CN"/>
              </w:rPr>
              <w:t>、</w:t>
            </w:r>
            <w:r>
              <w:rPr>
                <w:rFonts w:hint="eastAsia" w:ascii="宋体" w:hAnsi="宋体" w:eastAsia="宋体" w:cs="宋体"/>
                <w:szCs w:val="21"/>
              </w:rPr>
              <w:t>砼振实台</w:t>
            </w:r>
            <w:r>
              <w:rPr>
                <w:rFonts w:hint="eastAsia" w:ascii="宋体" w:hAnsi="宋体" w:eastAsia="宋体" w:cs="宋体"/>
                <w:szCs w:val="21"/>
                <w:lang w:eastAsia="zh-CN"/>
              </w:rPr>
              <w:t>、</w:t>
            </w:r>
            <w:r>
              <w:rPr>
                <w:rFonts w:hint="eastAsia" w:ascii="宋体" w:hAnsi="宋体" w:eastAsia="宋体" w:cs="宋体"/>
                <w:szCs w:val="21"/>
              </w:rPr>
              <w:t>砂浆稠度仪</w:t>
            </w:r>
            <w:r>
              <w:rPr>
                <w:rFonts w:hint="eastAsia" w:ascii="宋体" w:hAnsi="宋体" w:eastAsia="宋体" w:cs="宋体"/>
                <w:szCs w:val="21"/>
                <w:lang w:eastAsia="zh-CN"/>
              </w:rPr>
              <w:t>、</w:t>
            </w:r>
            <w:r>
              <w:rPr>
                <w:rFonts w:hint="eastAsia" w:ascii="宋体" w:hAnsi="宋体" w:eastAsia="宋体" w:cs="宋体"/>
                <w:szCs w:val="21"/>
              </w:rPr>
              <w:t>水泥电动抗折仪</w:t>
            </w:r>
            <w:r>
              <w:rPr>
                <w:rFonts w:hint="eastAsia" w:ascii="宋体" w:hAnsi="宋体" w:eastAsia="宋体" w:cs="宋体"/>
                <w:szCs w:val="21"/>
                <w:lang w:eastAsia="zh-CN"/>
              </w:rPr>
              <w:t>、</w:t>
            </w:r>
            <w:r>
              <w:rPr>
                <w:rFonts w:hint="eastAsia" w:ascii="宋体" w:hAnsi="宋体" w:eastAsia="宋体" w:cs="宋体"/>
                <w:szCs w:val="21"/>
              </w:rPr>
              <w:t>胶砂振实台</w:t>
            </w:r>
            <w:r>
              <w:rPr>
                <w:rFonts w:hint="eastAsia" w:ascii="宋体" w:hAnsi="宋体" w:eastAsia="宋体" w:cs="宋体"/>
                <w:szCs w:val="21"/>
                <w:lang w:eastAsia="zh-CN"/>
              </w:rPr>
              <w:t>、</w:t>
            </w:r>
            <w:r>
              <w:rPr>
                <w:rFonts w:hint="eastAsia" w:ascii="宋体" w:hAnsi="宋体" w:eastAsia="宋体" w:cs="宋体"/>
                <w:szCs w:val="21"/>
              </w:rPr>
              <w:t>负压筛析仪</w:t>
            </w:r>
            <w:r>
              <w:rPr>
                <w:rFonts w:hint="eastAsia" w:ascii="宋体" w:hAnsi="宋体" w:eastAsia="宋体" w:cs="宋体"/>
                <w:szCs w:val="21"/>
                <w:lang w:eastAsia="zh-CN"/>
              </w:rPr>
              <w:t>、</w:t>
            </w:r>
            <w:r>
              <w:rPr>
                <w:rFonts w:hint="eastAsia" w:ascii="宋体" w:hAnsi="宋体" w:eastAsia="宋体" w:cs="宋体"/>
                <w:szCs w:val="21"/>
              </w:rPr>
              <w:t>摇筛机</w:t>
            </w:r>
            <w:r>
              <w:rPr>
                <w:rFonts w:hint="eastAsia" w:ascii="宋体" w:hAnsi="宋体" w:eastAsia="宋体" w:cs="宋体"/>
                <w:szCs w:val="21"/>
                <w:lang w:eastAsia="zh-CN"/>
              </w:rPr>
              <w:t>、</w:t>
            </w:r>
            <w:r>
              <w:rPr>
                <w:rFonts w:hint="eastAsia" w:ascii="宋体" w:hAnsi="宋体" w:eastAsia="宋体" w:cs="宋体"/>
                <w:szCs w:val="21"/>
              </w:rPr>
              <w:t>水泥压力机</w:t>
            </w:r>
            <w:r>
              <w:rPr>
                <w:rFonts w:hint="eastAsia" w:ascii="宋体" w:hAnsi="宋体" w:eastAsia="宋体" w:cs="宋体"/>
                <w:szCs w:val="21"/>
                <w:lang w:eastAsia="zh-CN"/>
              </w:rPr>
              <w:t>、</w:t>
            </w:r>
            <w:r>
              <w:rPr>
                <w:rFonts w:hint="eastAsia" w:ascii="宋体" w:hAnsi="宋体" w:eastAsia="宋体" w:cs="宋体"/>
                <w:szCs w:val="21"/>
              </w:rPr>
              <w:t>标准养护箱</w:t>
            </w:r>
            <w:r>
              <w:rPr>
                <w:rFonts w:hint="eastAsia" w:ascii="宋体" w:hAnsi="宋体" w:eastAsia="宋体" w:cs="宋体"/>
                <w:szCs w:val="21"/>
                <w:lang w:eastAsia="zh-CN"/>
              </w:rPr>
              <w:t>、</w:t>
            </w:r>
            <w:r>
              <w:rPr>
                <w:rFonts w:hint="eastAsia" w:ascii="宋体" w:hAnsi="宋体" w:eastAsia="宋体" w:cs="宋体"/>
                <w:szCs w:val="21"/>
              </w:rPr>
              <w:t>低温冷冻箱</w:t>
            </w:r>
            <w:r>
              <w:rPr>
                <w:rFonts w:hint="eastAsia" w:ascii="宋体" w:hAnsi="宋体" w:eastAsia="宋体" w:cs="宋体"/>
                <w:szCs w:val="21"/>
                <w:lang w:eastAsia="zh-CN"/>
              </w:rPr>
              <w:t>、</w:t>
            </w:r>
            <w:r>
              <w:rPr>
                <w:rFonts w:hint="eastAsia" w:ascii="宋体" w:hAnsi="宋体" w:eastAsia="宋体" w:cs="宋体"/>
                <w:szCs w:val="21"/>
              </w:rPr>
              <w:t>快速养护箱</w:t>
            </w:r>
            <w:r>
              <w:rPr>
                <w:rFonts w:hint="eastAsia" w:ascii="宋体" w:hAnsi="宋体" w:eastAsia="宋体" w:cs="宋体"/>
                <w:szCs w:val="21"/>
                <w:lang w:eastAsia="zh-CN"/>
              </w:rPr>
              <w:t>、</w:t>
            </w:r>
            <w:r>
              <w:rPr>
                <w:rFonts w:hint="eastAsia" w:ascii="宋体" w:hAnsi="宋体" w:eastAsia="宋体" w:cs="宋体"/>
                <w:szCs w:val="21"/>
              </w:rPr>
              <w:t>沸煮箱</w:t>
            </w:r>
            <w:r>
              <w:rPr>
                <w:rFonts w:hint="eastAsia" w:ascii="宋体" w:hAnsi="宋体" w:eastAsia="宋体" w:cs="宋体"/>
                <w:szCs w:val="21"/>
                <w:lang w:eastAsia="zh-CN"/>
              </w:rPr>
              <w:t>、</w:t>
            </w:r>
            <w:r>
              <w:rPr>
                <w:rFonts w:hint="eastAsia" w:ascii="宋体" w:hAnsi="宋体" w:eastAsia="宋体" w:cs="宋体"/>
                <w:szCs w:val="21"/>
              </w:rPr>
              <w:t xml:space="preserve">抗折试验机 </w:t>
            </w:r>
            <w:r>
              <w:rPr>
                <w:rFonts w:hint="eastAsia" w:ascii="宋体" w:hAnsi="宋体" w:eastAsia="宋体" w:cs="宋体"/>
                <w:szCs w:val="21"/>
                <w:lang w:eastAsia="zh-CN"/>
              </w:rPr>
              <w:t>、</w:t>
            </w:r>
            <w:r>
              <w:rPr>
                <w:rFonts w:hint="eastAsia" w:ascii="宋体" w:hAnsi="宋体" w:eastAsia="宋体" w:cs="宋体"/>
                <w:szCs w:val="21"/>
              </w:rPr>
              <w:t>标准维卡仪</w:t>
            </w:r>
            <w:r>
              <w:rPr>
                <w:rFonts w:hint="eastAsia" w:ascii="宋体" w:hAnsi="宋体" w:eastAsia="宋体" w:cs="宋体"/>
                <w:szCs w:val="21"/>
                <w:lang w:eastAsia="zh-CN"/>
              </w:rPr>
              <w:t>、</w:t>
            </w:r>
            <w:r>
              <w:rPr>
                <w:rFonts w:hint="eastAsia" w:ascii="宋体" w:hAnsi="宋体" w:eastAsia="宋体" w:cs="宋体"/>
                <w:szCs w:val="21"/>
              </w:rPr>
              <w:t>电动跳桌</w:t>
            </w:r>
            <w:r>
              <w:rPr>
                <w:rFonts w:hint="eastAsia" w:ascii="宋体" w:hAnsi="宋体" w:eastAsia="宋体" w:cs="宋体"/>
                <w:szCs w:val="21"/>
                <w:lang w:eastAsia="zh-CN"/>
              </w:rPr>
              <w:t>、</w:t>
            </w:r>
            <w:r>
              <w:rPr>
                <w:rFonts w:hint="eastAsia" w:ascii="宋体" w:hAnsi="宋体" w:eastAsia="宋体" w:cs="宋体"/>
                <w:szCs w:val="21"/>
              </w:rPr>
              <w:t>砼泌水仪</w:t>
            </w:r>
            <w:r>
              <w:rPr>
                <w:rFonts w:hint="eastAsia" w:ascii="宋体" w:hAnsi="宋体" w:eastAsia="宋体" w:cs="宋体"/>
                <w:szCs w:val="21"/>
                <w:lang w:eastAsia="zh-CN"/>
              </w:rPr>
              <w:t>、</w:t>
            </w:r>
            <w:r>
              <w:rPr>
                <w:rFonts w:hint="eastAsia" w:ascii="宋体" w:hAnsi="宋体" w:eastAsia="宋体" w:cs="宋体"/>
                <w:szCs w:val="21"/>
              </w:rPr>
              <w:t>烘箱</w:t>
            </w:r>
            <w:r>
              <w:rPr>
                <w:rFonts w:hint="eastAsia" w:ascii="宋体" w:hAnsi="宋体" w:eastAsia="宋体" w:cs="宋体"/>
                <w:szCs w:val="21"/>
                <w:lang w:eastAsia="zh-CN"/>
              </w:rPr>
              <w:t>、</w:t>
            </w:r>
            <w:r>
              <w:rPr>
                <w:rFonts w:hint="eastAsia" w:ascii="宋体" w:hAnsi="宋体" w:eastAsia="宋体" w:cs="宋体"/>
                <w:szCs w:val="21"/>
              </w:rPr>
              <w:t>砼搅拌机</w:t>
            </w:r>
            <w:r>
              <w:rPr>
                <w:rFonts w:hint="eastAsia" w:ascii="宋体" w:hAnsi="宋体" w:eastAsia="宋体" w:cs="宋体"/>
                <w:szCs w:val="21"/>
                <w:lang w:eastAsia="zh-CN"/>
              </w:rPr>
              <w:t>、</w:t>
            </w:r>
            <w:r>
              <w:rPr>
                <w:rFonts w:hint="eastAsia" w:ascii="宋体" w:hAnsi="宋体" w:eastAsia="宋体" w:cs="宋体"/>
                <w:szCs w:val="21"/>
              </w:rPr>
              <w:t xml:space="preserve">气泵                      </w:t>
            </w:r>
          </w:p>
        </w:tc>
        <w:tc>
          <w:tcPr>
            <w:tcW w:w="2037" w:type="dxa"/>
            <w:shd w:val="clear" w:color="auto" w:fill="auto"/>
            <w:vAlign w:val="center"/>
          </w:tcPr>
          <w:p>
            <w:pPr>
              <w:snapToGrid w:val="0"/>
              <w:spacing w:line="5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建筑工程材料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2</w:t>
            </w:r>
          </w:p>
        </w:tc>
        <w:tc>
          <w:tcPr>
            <w:tcW w:w="1572"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 xml:space="preserve"> 给排水工程实训室</w:t>
            </w:r>
          </w:p>
        </w:tc>
        <w:tc>
          <w:tcPr>
            <w:tcW w:w="4352" w:type="dxa"/>
            <w:shd w:val="clear" w:color="auto" w:fill="auto"/>
            <w:vAlign w:val="center"/>
          </w:tcPr>
          <w:p>
            <w:pPr>
              <w:snapToGrid w:val="0"/>
              <w:spacing w:line="520" w:lineRule="exact"/>
              <w:jc w:val="left"/>
              <w:rPr>
                <w:rFonts w:hint="eastAsia" w:ascii="宋体" w:hAnsi="宋体" w:eastAsia="宋体" w:cs="宋体"/>
                <w:szCs w:val="21"/>
                <w:lang w:eastAsia="zh-CN"/>
              </w:rPr>
            </w:pPr>
            <w:r>
              <w:rPr>
                <w:rFonts w:hint="eastAsia" w:ascii="宋体" w:hAnsi="宋体" w:eastAsia="宋体" w:cs="宋体"/>
                <w:szCs w:val="21"/>
              </w:rPr>
              <w:t>水环境监测与治理技术综合实训平台（环境大赛设备）</w:t>
            </w:r>
            <w:r>
              <w:rPr>
                <w:rFonts w:hint="eastAsia" w:ascii="宋体" w:hAnsi="宋体" w:eastAsia="宋体" w:cs="宋体"/>
                <w:szCs w:val="21"/>
                <w:lang w:eastAsia="zh-CN"/>
              </w:rPr>
              <w:t>、</w:t>
            </w:r>
            <w:r>
              <w:rPr>
                <w:rFonts w:hint="eastAsia" w:ascii="宋体" w:hAnsi="宋体" w:eastAsia="宋体" w:cs="宋体"/>
                <w:szCs w:val="21"/>
              </w:rPr>
              <w:t>分建式集水井模型</w:t>
            </w:r>
            <w:r>
              <w:rPr>
                <w:rFonts w:hint="eastAsia" w:ascii="宋体" w:hAnsi="宋体" w:eastAsia="宋体" w:cs="宋体"/>
                <w:szCs w:val="21"/>
                <w:lang w:eastAsia="zh-CN"/>
              </w:rPr>
              <w:t>、</w:t>
            </w:r>
            <w:r>
              <w:rPr>
                <w:rFonts w:hint="eastAsia" w:ascii="宋体" w:hAnsi="宋体" w:eastAsia="宋体" w:cs="宋体"/>
                <w:szCs w:val="21"/>
              </w:rPr>
              <w:t>岸边合建式取水构筑物模型</w:t>
            </w:r>
            <w:r>
              <w:rPr>
                <w:rFonts w:hint="eastAsia" w:ascii="宋体" w:hAnsi="宋体" w:eastAsia="宋体" w:cs="宋体"/>
                <w:szCs w:val="21"/>
                <w:lang w:eastAsia="zh-CN"/>
              </w:rPr>
              <w:t>、</w:t>
            </w:r>
            <w:r>
              <w:rPr>
                <w:rFonts w:hint="eastAsia" w:ascii="宋体" w:hAnsi="宋体" w:eastAsia="宋体" w:cs="宋体"/>
                <w:szCs w:val="21"/>
              </w:rPr>
              <w:t>管井的一般构造模型</w:t>
            </w:r>
            <w:r>
              <w:rPr>
                <w:rFonts w:hint="eastAsia" w:ascii="宋体" w:hAnsi="宋体" w:eastAsia="宋体" w:cs="宋体"/>
                <w:szCs w:val="21"/>
                <w:lang w:eastAsia="zh-CN"/>
              </w:rPr>
              <w:t>、</w:t>
            </w:r>
            <w:r>
              <w:rPr>
                <w:rFonts w:hint="eastAsia" w:ascii="宋体" w:hAnsi="宋体" w:eastAsia="宋体" w:cs="宋体"/>
                <w:szCs w:val="21"/>
              </w:rPr>
              <w:t>城市管网布置示教板</w:t>
            </w:r>
            <w:r>
              <w:rPr>
                <w:rFonts w:hint="eastAsia" w:ascii="宋体" w:hAnsi="宋体" w:eastAsia="宋体" w:cs="宋体"/>
                <w:szCs w:val="21"/>
                <w:lang w:eastAsia="zh-CN"/>
              </w:rPr>
              <w:t>、</w:t>
            </w:r>
            <w:r>
              <w:rPr>
                <w:rFonts w:hint="eastAsia" w:ascii="宋体" w:hAnsi="宋体" w:eastAsia="宋体" w:cs="宋体"/>
                <w:szCs w:val="21"/>
              </w:rPr>
              <w:t>干管和分配管示教板</w:t>
            </w:r>
            <w:r>
              <w:rPr>
                <w:rFonts w:hint="eastAsia" w:ascii="宋体" w:hAnsi="宋体" w:eastAsia="宋体" w:cs="宋体"/>
                <w:szCs w:val="21"/>
                <w:lang w:eastAsia="zh-CN"/>
              </w:rPr>
              <w:t>、</w:t>
            </w:r>
            <w:r>
              <w:rPr>
                <w:rFonts w:hint="eastAsia" w:ascii="宋体" w:hAnsi="宋体" w:eastAsia="宋体" w:cs="宋体"/>
                <w:szCs w:val="21"/>
              </w:rPr>
              <w:t>给排水管道安装实训台</w:t>
            </w:r>
            <w:r>
              <w:rPr>
                <w:rFonts w:hint="eastAsia" w:ascii="宋体" w:hAnsi="宋体" w:eastAsia="宋体" w:cs="宋体"/>
                <w:szCs w:val="21"/>
                <w:lang w:eastAsia="zh-CN"/>
              </w:rPr>
              <w:t>、</w:t>
            </w:r>
            <w:r>
              <w:rPr>
                <w:rFonts w:hint="eastAsia" w:ascii="宋体" w:hAnsi="宋体" w:eastAsia="宋体" w:cs="宋体"/>
                <w:szCs w:val="21"/>
              </w:rPr>
              <w:t>给排水设备安装与控制装置</w:t>
            </w:r>
            <w:r>
              <w:rPr>
                <w:rFonts w:hint="eastAsia" w:ascii="宋体" w:hAnsi="宋体" w:eastAsia="宋体" w:cs="宋体"/>
                <w:szCs w:val="21"/>
                <w:lang w:eastAsia="zh-CN"/>
              </w:rPr>
              <w:t>、</w:t>
            </w:r>
            <w:r>
              <w:rPr>
                <w:rFonts w:hint="eastAsia" w:ascii="宋体" w:hAnsi="宋体" w:eastAsia="宋体" w:cs="宋体"/>
                <w:szCs w:val="21"/>
              </w:rPr>
              <w:t>法兰暗杆楔式阀门模型</w:t>
            </w:r>
            <w:r>
              <w:rPr>
                <w:rFonts w:hint="eastAsia" w:ascii="宋体" w:hAnsi="宋体" w:eastAsia="宋体" w:cs="宋体"/>
                <w:szCs w:val="21"/>
                <w:lang w:eastAsia="zh-CN"/>
              </w:rPr>
              <w:t>、</w:t>
            </w:r>
            <w:r>
              <w:rPr>
                <w:rFonts w:hint="eastAsia" w:ascii="宋体" w:hAnsi="宋体" w:eastAsia="宋体" w:cs="宋体"/>
                <w:szCs w:val="21"/>
              </w:rPr>
              <w:t>四种基本给水分区示教板</w:t>
            </w:r>
          </w:p>
        </w:tc>
        <w:tc>
          <w:tcPr>
            <w:tcW w:w="2037" w:type="dxa"/>
            <w:shd w:val="clear" w:color="auto" w:fill="auto"/>
            <w:vAlign w:val="center"/>
          </w:tcPr>
          <w:p>
            <w:pPr>
              <w:snapToGrid w:val="0"/>
              <w:spacing w:line="5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水处理工程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3</w:t>
            </w:r>
          </w:p>
        </w:tc>
        <w:tc>
          <w:tcPr>
            <w:tcW w:w="1572"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 xml:space="preserve"> 绘图室</w:t>
            </w:r>
          </w:p>
        </w:tc>
        <w:tc>
          <w:tcPr>
            <w:tcW w:w="4352" w:type="dxa"/>
            <w:shd w:val="clear" w:color="auto" w:fill="auto"/>
            <w:vAlign w:val="center"/>
          </w:tcPr>
          <w:p>
            <w:pPr>
              <w:snapToGrid w:val="0"/>
              <w:spacing w:line="520" w:lineRule="exact"/>
              <w:jc w:val="center"/>
              <w:rPr>
                <w:rFonts w:hint="eastAsia" w:ascii="宋体" w:hAnsi="宋体" w:eastAsia="宋体" w:cs="宋体"/>
                <w:szCs w:val="21"/>
                <w:lang w:eastAsia="zh-CN"/>
              </w:rPr>
            </w:pPr>
            <w:r>
              <w:rPr>
                <w:rFonts w:hint="eastAsia" w:ascii="宋体" w:hAnsi="宋体" w:eastAsia="宋体" w:cs="宋体"/>
                <w:szCs w:val="21"/>
              </w:rPr>
              <w:t>绘图桌椅</w:t>
            </w:r>
            <w:r>
              <w:rPr>
                <w:rFonts w:hint="eastAsia" w:ascii="宋体" w:hAnsi="宋体" w:eastAsia="宋体" w:cs="宋体"/>
                <w:szCs w:val="21"/>
                <w:lang w:eastAsia="zh-CN"/>
              </w:rPr>
              <w:t>、</w:t>
            </w:r>
            <w:r>
              <w:rPr>
                <w:rFonts w:hint="eastAsia" w:ascii="宋体" w:hAnsi="宋体" w:eastAsia="宋体" w:cs="宋体"/>
                <w:szCs w:val="21"/>
              </w:rPr>
              <w:t>投影模型</w:t>
            </w:r>
            <w:r>
              <w:rPr>
                <w:rFonts w:hint="eastAsia" w:ascii="宋体" w:hAnsi="宋体" w:eastAsia="宋体" w:cs="宋体"/>
                <w:szCs w:val="21"/>
                <w:lang w:eastAsia="zh-CN"/>
              </w:rPr>
              <w:t>、</w:t>
            </w:r>
            <w:r>
              <w:rPr>
                <w:rFonts w:hint="eastAsia" w:ascii="宋体" w:hAnsi="宋体" w:eastAsia="宋体" w:cs="宋体"/>
                <w:szCs w:val="21"/>
              </w:rPr>
              <w:t>绘图</w:t>
            </w:r>
            <w:r>
              <w:rPr>
                <w:rFonts w:hint="eastAsia" w:ascii="宋体" w:hAnsi="宋体" w:eastAsia="宋体" w:cs="宋体"/>
                <w:szCs w:val="21"/>
                <w:lang w:val="en-US" w:eastAsia="zh-CN"/>
              </w:rPr>
              <w:t>工具</w:t>
            </w:r>
          </w:p>
        </w:tc>
        <w:tc>
          <w:tcPr>
            <w:tcW w:w="2037" w:type="dxa"/>
            <w:shd w:val="clear" w:color="auto" w:fill="auto"/>
            <w:vAlign w:val="center"/>
          </w:tcPr>
          <w:p>
            <w:pPr>
              <w:snapToGrid w:val="0"/>
              <w:spacing w:line="5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建筑制图与识图、建筑构造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4</w:t>
            </w:r>
          </w:p>
        </w:tc>
        <w:tc>
          <w:tcPr>
            <w:tcW w:w="1572"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工程测量实训室</w:t>
            </w:r>
          </w:p>
        </w:tc>
        <w:tc>
          <w:tcPr>
            <w:tcW w:w="4352" w:type="dxa"/>
            <w:shd w:val="clear" w:color="auto" w:fill="auto"/>
            <w:vAlign w:val="center"/>
          </w:tcPr>
          <w:p>
            <w:pPr>
              <w:snapToGrid w:val="0"/>
              <w:spacing w:line="520" w:lineRule="exact"/>
              <w:jc w:val="center"/>
              <w:rPr>
                <w:rFonts w:hint="eastAsia" w:ascii="宋体" w:hAnsi="宋体" w:eastAsia="宋体" w:cs="宋体"/>
                <w:szCs w:val="21"/>
              </w:rPr>
            </w:pPr>
            <w:r>
              <w:rPr>
                <w:rFonts w:hint="eastAsia" w:ascii="宋体" w:hAnsi="宋体" w:eastAsia="宋体" w:cs="宋体"/>
                <w:szCs w:val="21"/>
              </w:rPr>
              <w:t>全站仪动静态GPS光学经纬仪、电子经纬仪、光学水准仪、自动安平水准仪、平板仪、测距仪、激光扫平仪电子水准仪</w:t>
            </w:r>
            <w:r>
              <w:rPr>
                <w:rFonts w:hint="eastAsia" w:ascii="宋体" w:hAnsi="宋体" w:eastAsia="宋体" w:cs="宋体"/>
                <w:szCs w:val="21"/>
                <w:lang w:eastAsia="zh-CN"/>
              </w:rPr>
              <w:t>、</w:t>
            </w:r>
            <w:r>
              <w:rPr>
                <w:rFonts w:hint="eastAsia" w:ascii="宋体" w:hAnsi="宋体" w:eastAsia="宋体" w:cs="宋体"/>
                <w:szCs w:val="21"/>
              </w:rPr>
              <w:t>打印机和绘图仪</w:t>
            </w:r>
          </w:p>
        </w:tc>
        <w:tc>
          <w:tcPr>
            <w:tcW w:w="2037" w:type="dxa"/>
            <w:shd w:val="clear" w:color="auto" w:fill="auto"/>
            <w:vAlign w:val="center"/>
          </w:tcPr>
          <w:p>
            <w:pPr>
              <w:snapToGrid w:val="0"/>
              <w:spacing w:line="52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建筑工程测量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1572" w:type="dxa"/>
            <w:shd w:val="clear" w:color="auto" w:fill="auto"/>
            <w:vAlign w:val="center"/>
          </w:tcPr>
          <w:p>
            <w:pPr>
              <w:snapToGrid w:val="0"/>
              <w:spacing w:line="5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市政工程机房</w:t>
            </w:r>
          </w:p>
        </w:tc>
        <w:tc>
          <w:tcPr>
            <w:tcW w:w="4352" w:type="dxa"/>
            <w:shd w:val="clear" w:color="auto" w:fill="auto"/>
            <w:vAlign w:val="center"/>
          </w:tcPr>
          <w:p>
            <w:pPr>
              <w:snapToGrid w:val="0"/>
              <w:spacing w:line="52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市政道桥仿真软件、城市给水处理工艺仿真软件、城市污水处理仿真软件、鲁班土建建模软件、中望CAD、市政管道不开槽施工之掘进顶管法、叠合梁抗弯性能试验、路桥维护与病害防治、市政给排水管道的开槽施工、给排水构筑物施工之沉井工程施工、土压平衡盾构法施工模拟仿真</w:t>
            </w:r>
          </w:p>
        </w:tc>
        <w:tc>
          <w:tcPr>
            <w:tcW w:w="2037" w:type="dxa"/>
            <w:shd w:val="clear" w:color="auto" w:fill="auto"/>
            <w:vAlign w:val="center"/>
          </w:tcPr>
          <w:p>
            <w:pPr>
              <w:snapToGrid w:val="0"/>
              <w:spacing w:line="5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路基路面、桥梁工程施工、水处理工程、市政管道工程施工、建筑CAD</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28"/>
          <w:szCs w:val="28"/>
          <w14:textFill>
            <w14:solidFill>
              <w14:schemeClr w14:val="tx1"/>
            </w14:solidFill>
          </w14:textFill>
        </w:rPr>
        <w:t>校外实践教学条件</w:t>
      </w:r>
    </w:p>
    <w:p>
      <w:pPr>
        <w:snapToGrid w:val="0"/>
        <w:spacing w:line="480" w:lineRule="exact"/>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bookmarkStart w:id="46" w:name="_Toc4916"/>
      <w:r>
        <w:rPr>
          <w:rFonts w:hint="eastAsia" w:ascii="仿宋_GB2312" w:hAnsi="仿宋_GB2312" w:eastAsia="仿宋_GB2312" w:cs="仿宋_GB2312"/>
          <w:color w:val="000000" w:themeColor="text1"/>
          <w:sz w:val="28"/>
          <w:szCs w:val="28"/>
          <w14:textFill>
            <w14:solidFill>
              <w14:schemeClr w14:val="tx1"/>
            </w14:solidFill>
          </w14:textFill>
        </w:rPr>
        <w:t>为提高学生的岗位实践能力，体验企业的管理模式，提前在学生的头脑当中建立质量意识、时间观念、效益的概念，以及建立安全第一的生产意识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定期组织</w:t>
      </w:r>
      <w:r>
        <w:rPr>
          <w:rFonts w:hint="eastAsia" w:ascii="仿宋_GB2312" w:hAnsi="仿宋_GB2312" w:eastAsia="仿宋_GB2312" w:cs="仿宋_GB2312"/>
          <w:color w:val="000000" w:themeColor="text1"/>
          <w:sz w:val="28"/>
          <w:szCs w:val="28"/>
          <w14:textFill>
            <w14:solidFill>
              <w14:schemeClr w14:val="tx1"/>
            </w14:solidFill>
          </w14:textFill>
        </w:rPr>
        <w:t>深入一线施工现场参观学习市政工程道路、桥梁施工流程，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体验</w:t>
      </w:r>
      <w:r>
        <w:rPr>
          <w:rFonts w:hint="eastAsia" w:ascii="仿宋_GB2312" w:hAnsi="仿宋_GB2312" w:eastAsia="仿宋_GB2312" w:cs="仿宋_GB2312"/>
          <w:color w:val="000000" w:themeColor="text1"/>
          <w:sz w:val="28"/>
          <w:szCs w:val="28"/>
          <w14:textFill>
            <w14:solidFill>
              <w14:schemeClr w14:val="tx1"/>
            </w14:solidFill>
          </w14:textFill>
        </w:rPr>
        <w:t>现场施工环境、夯实专业知识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学院现已</w:t>
      </w:r>
      <w:r>
        <w:rPr>
          <w:rFonts w:hint="eastAsia" w:ascii="仿宋_GB2312" w:hAnsi="仿宋_GB2312" w:eastAsia="仿宋_GB2312" w:cs="仿宋_GB2312"/>
          <w:color w:val="000000" w:themeColor="text1"/>
          <w:sz w:val="28"/>
          <w:szCs w:val="28"/>
          <w14:textFill>
            <w14:solidFill>
              <w14:schemeClr w14:val="tx1"/>
            </w14:solidFill>
          </w14:textFill>
        </w:rPr>
        <w:t>与鄂尔多斯市横东建筑集团有限责任公司</w:t>
      </w:r>
      <w:r>
        <w:rPr>
          <w:rFonts w:hint="eastAsia" w:ascii="仿宋_GB2312" w:hAnsi="仿宋_GB2312" w:eastAsia="仿宋_GB2312" w:cs="仿宋_GB2312"/>
          <w:color w:val="000000" w:themeColor="text1"/>
          <w:sz w:val="28"/>
          <w:szCs w:val="28"/>
          <w:lang w:eastAsia="zh-CN"/>
          <w14:textFill>
            <w14:solidFill>
              <w14:schemeClr w14:val="tx1"/>
            </w14:solidFill>
          </w14:textFill>
        </w:rPr>
        <w:t>、鄂尔多斯市交通投资有限公司、内蒙古吉泰恒岳建设集团有限责任公司、北控水务（中国）投资有限公司、康巴什公用事业管理局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等多家企事业单位建立校企合作</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保证学生校外实习实训条件。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教学资源</w:t>
      </w:r>
      <w:bookmarkEnd w:id="46"/>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bookmarkStart w:id="47" w:name="_Toc30455"/>
      <w:r>
        <w:rPr>
          <w:rFonts w:hint="eastAsia" w:ascii="仿宋_GB2312" w:hAnsi="仿宋_GB2312" w:eastAsia="仿宋_GB2312" w:cs="仿宋_GB2312"/>
          <w:bCs/>
          <w:color w:val="000000" w:themeColor="text1"/>
          <w:sz w:val="28"/>
          <w:szCs w:val="28"/>
          <w14:textFill>
            <w14:solidFill>
              <w14:schemeClr w14:val="tx1"/>
            </w14:solidFill>
          </w14:textFill>
        </w:rPr>
        <w:t>教学资源主要包括能够满足学生专业学习、教师专业教学研究和教学实施所需的教材、图书文献及数字教学资源等。</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1.教材选用基本要求</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按照国家规定选用优质教材，禁止不合格的教材进入课堂。学校建立有教材工作委员会，完善教材选用制度，经过规范程序择优选用教材。</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2.图书文献配备基本要求</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图书文献配备能满足人才培养、专业建设、教科研等工作的需要，方便师生查询、借阅。专业类图书文献主要包括：有关</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市政工程相关</w:t>
      </w:r>
      <w:r>
        <w:rPr>
          <w:rFonts w:hint="eastAsia" w:ascii="仿宋_GB2312" w:hAnsi="仿宋_GB2312" w:eastAsia="仿宋_GB2312" w:cs="仿宋_GB2312"/>
          <w:bCs/>
          <w:color w:val="000000" w:themeColor="text1"/>
          <w:sz w:val="28"/>
          <w:szCs w:val="28"/>
          <w14:textFill>
            <w14:solidFill>
              <w14:schemeClr w14:val="tx1"/>
            </w14:solidFill>
          </w14:textFill>
        </w:rPr>
        <w:t>的技术、标准、方法、操作规范以及实务案例类图书等。</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3.数字教学资源配置基本要求</w:t>
      </w:r>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四</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教学方法</w:t>
      </w:r>
      <w:bookmarkEnd w:id="47"/>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bookmarkStart w:id="48" w:name="_Toc16020"/>
      <w:r>
        <w:rPr>
          <w:rFonts w:hint="eastAsia" w:ascii="仿宋_GB2312" w:hAnsi="仿宋_GB2312" w:eastAsia="仿宋_GB2312" w:cs="仿宋_GB2312"/>
          <w:b/>
          <w:color w:val="000000" w:themeColor="text1"/>
          <w:sz w:val="28"/>
          <w:szCs w:val="28"/>
          <w14:textFill>
            <w14:solidFill>
              <w14:schemeClr w14:val="tx1"/>
            </w14:solidFill>
          </w14:textFill>
        </w:rPr>
        <w:t>1.教学方法</w:t>
      </w:r>
    </w:p>
    <w:p>
      <w:pPr>
        <w:snapToGrid w:val="0"/>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断探索教学模式和教学方法的改革与创新，探索任务驱动、项目导向等有利于增强学生能力的教学模式，探索课堂与实习地点一体化，学生在教师和技术人员的共同指导下学习和实践，实现教师与师傅合一、学生与徒弟合一、作业与产品合一，在真实职业情境中实施教学，教学方法以边讲边练、讲练结合为主，强化学生能力培养。</w:t>
      </w:r>
    </w:p>
    <w:p>
      <w:pPr>
        <w:snapToGrid w:val="0"/>
        <w:spacing w:line="48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2.教学手段</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五</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学习评价</w:t>
      </w:r>
      <w:bookmarkEnd w:id="48"/>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bookmarkStart w:id="49" w:name="_Toc24701"/>
      <w:r>
        <w:rPr>
          <w:rFonts w:hint="eastAsia" w:ascii="仿宋_GB2312" w:hAnsi="仿宋_GB2312" w:eastAsia="仿宋_GB2312" w:cs="仿宋_GB2312"/>
          <w:color w:val="000000" w:themeColor="text1"/>
          <w:sz w:val="28"/>
          <w:szCs w:val="28"/>
          <w14:textFill>
            <w14:solidFill>
              <w14:schemeClr w14:val="tx1"/>
            </w14:solidFill>
          </w14:textFill>
        </w:rPr>
        <w:t>提倡灵活多样的考核方式，将过程评价和结果评价相结合，开卷考试与答辩相结合，笔试与操作考核相结合，突出学生的能力考核和技能考核。在项目课程中，参照企业的评价方式，推行等级评价方式。生产性实习和岗位实习的评价由校内指导教师和企业指导教师共同完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六</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质量管理</w:t>
      </w:r>
      <w:bookmarkEnd w:id="49"/>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组织保障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学院实施</w:t>
      </w:r>
      <w:r>
        <w:rPr>
          <w:rFonts w:hint="eastAsia" w:ascii="仿宋_GB2312" w:hAnsi="仿宋_GB2312" w:eastAsia="仿宋_GB2312" w:cs="仿宋_GB2312"/>
          <w:color w:val="000000" w:themeColor="text1"/>
          <w:sz w:val="28"/>
          <w:szCs w:val="28"/>
          <w:lang w:eastAsia="zh-CN"/>
          <w14:textFill>
            <w14:solidFill>
              <w14:schemeClr w14:val="tx1"/>
            </w14:solidFill>
          </w14:textFill>
        </w:rPr>
        <w:t>院</w:t>
      </w:r>
      <w:r>
        <w:rPr>
          <w:rFonts w:hint="eastAsia" w:ascii="仿宋_GB2312" w:hAnsi="仿宋_GB2312" w:eastAsia="仿宋_GB2312" w:cs="仿宋_GB2312"/>
          <w:color w:val="000000" w:themeColor="text1"/>
          <w:sz w:val="28"/>
          <w:szCs w:val="28"/>
          <w14:textFill>
            <w14:solidFill>
              <w14:schemeClr w14:val="tx1"/>
            </w14:solidFill>
          </w14:textFill>
        </w:rPr>
        <w:t>、系（部）二级教学质量管理机制。</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相关部门实施一级管理</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专业建设</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委员会：</w:t>
      </w:r>
      <w:r>
        <w:rPr>
          <w:rFonts w:hint="eastAsia" w:ascii="仿宋_GB2312" w:hAnsi="仿宋_GB2312" w:eastAsia="仿宋_GB2312" w:cs="仿宋_GB2312"/>
          <w:color w:val="000000" w:themeColor="text1"/>
          <w:sz w:val="28"/>
          <w:szCs w:val="28"/>
          <w14:textFill>
            <w14:solidFill>
              <w14:schemeClr w14:val="tx1"/>
            </w14:solidFill>
          </w14:textFill>
        </w:rPr>
        <w:t>行使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教学指导职能。主要监控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w:t>
      </w:r>
      <w:r>
        <w:rPr>
          <w:rFonts w:hint="eastAsia" w:ascii="仿宋_GB2312" w:hAnsi="仿宋_GB2312" w:eastAsia="仿宋_GB2312" w:cs="仿宋_GB2312"/>
          <w:color w:val="000000" w:themeColor="text1"/>
          <w:sz w:val="28"/>
          <w:szCs w:val="28"/>
          <w14:textFill>
            <w14:solidFill>
              <w14:schemeClr w14:val="tx1"/>
            </w14:solidFill>
          </w14:textFill>
        </w:rPr>
        <w:t>人才培养目标定位、重大教学改革方案和人才培养方案的制定</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修订，实验实训室建设等</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职能部门：</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工作机制</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各系（部）实施二级管理</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建立专业建设和教学质量诊断与改进机制，健全教学质量监控管理制度，完善课堂教学、教学评价、实习实训、毕业设计以及专业调研、人才培养方案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修订</w:t>
      </w:r>
      <w:r>
        <w:rPr>
          <w:rFonts w:hint="eastAsia" w:ascii="仿宋_GB2312" w:hAnsi="仿宋_GB2312" w:eastAsia="仿宋_GB2312" w:cs="仿宋_GB2312"/>
          <w:color w:val="000000" w:themeColor="text1"/>
          <w:sz w:val="28"/>
          <w:szCs w:val="28"/>
          <w14:textFill>
            <w14:solidFill>
              <w14:schemeClr w14:val="tx1"/>
            </w14:solidFill>
          </w14:textFill>
        </w:rPr>
        <w:t>、资源建设等方面质量标准建设，通过教学实施、过程监控、质量评价和持续改进，达成人才培养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目标和</w:t>
      </w:r>
      <w:r>
        <w:rPr>
          <w:rFonts w:hint="eastAsia" w:ascii="仿宋_GB2312" w:hAnsi="仿宋_GB2312" w:eastAsia="仿宋_GB2312" w:cs="仿宋_GB2312"/>
          <w:color w:val="000000" w:themeColor="text1"/>
          <w:sz w:val="28"/>
          <w:szCs w:val="28"/>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完善教学管理机制，加强日常教学组织运行与管理，开展课程建设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工作</w:t>
      </w:r>
      <w:r>
        <w:rPr>
          <w:rFonts w:hint="eastAsia" w:ascii="仿宋_GB2312" w:hAnsi="仿宋_GB2312" w:eastAsia="仿宋_GB2312" w:cs="仿宋_GB2312"/>
          <w:color w:val="000000" w:themeColor="text1"/>
          <w:sz w:val="28"/>
          <w:szCs w:val="28"/>
          <w14:textFill>
            <w14:solidFill>
              <w14:schemeClr w14:val="tx1"/>
            </w14:solidFill>
          </w14:textFill>
        </w:rPr>
        <w:t>，建立健全巡课、听课、评教、评学等制度，定期开展公开课、示范课等教研活动。建立与企业联动的实践教学环节督导制度，严明教学纪律，强化教学组织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制度保障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教学运行及教学管理相关检查制度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每学期开展期中、期末</w:t>
      </w:r>
      <w:r>
        <w:rPr>
          <w:rFonts w:hint="eastAsia" w:ascii="仿宋_GB2312" w:hAnsi="仿宋_GB2312" w:eastAsia="仿宋_GB2312" w:cs="仿宋_GB2312"/>
          <w:color w:val="000000" w:themeColor="text1"/>
          <w:sz w:val="28"/>
          <w:szCs w:val="28"/>
          <w:lang w:eastAsia="zh-CN"/>
          <w14:textFill>
            <w14:solidFill>
              <w14:schemeClr w14:val="tx1"/>
            </w14:solidFill>
          </w14:textFill>
        </w:rPr>
        <w:t>两</w:t>
      </w:r>
      <w:r>
        <w:rPr>
          <w:rFonts w:hint="eastAsia" w:ascii="仿宋_GB2312" w:hAnsi="仿宋_GB2312" w:eastAsia="仿宋_GB2312" w:cs="仿宋_GB2312"/>
          <w:color w:val="000000" w:themeColor="text1"/>
          <w:sz w:val="28"/>
          <w:szCs w:val="28"/>
          <w14:textFill>
            <w14:solidFill>
              <w14:schemeClr w14:val="tx1"/>
            </w14:solidFill>
          </w14:textFill>
        </w:rPr>
        <w:t>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集中</w:t>
      </w:r>
      <w:r>
        <w:rPr>
          <w:rFonts w:hint="eastAsia" w:ascii="仿宋_GB2312" w:hAnsi="仿宋_GB2312" w:eastAsia="仿宋_GB2312" w:cs="仿宋_GB2312"/>
          <w:color w:val="000000" w:themeColor="text1"/>
          <w:sz w:val="28"/>
          <w:szCs w:val="28"/>
          <w14:textFill>
            <w14:solidFill>
              <w14:schemeClr w14:val="tx1"/>
            </w14:solidFill>
          </w14:textFill>
        </w:rPr>
        <w:t>教学检查，教学检查覆盖教师教学的备课、课堂讲授、作业批改、实验实习、辅导答疑、考试、阅卷、试卷分析、毕业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汇报</w:t>
      </w:r>
      <w:r>
        <w:rPr>
          <w:rFonts w:hint="eastAsia" w:ascii="仿宋_GB2312" w:hAnsi="仿宋_GB2312" w:eastAsia="仿宋_GB2312" w:cs="仿宋_GB2312"/>
          <w:color w:val="000000" w:themeColor="text1"/>
          <w:sz w:val="28"/>
          <w:szCs w:val="28"/>
          <w14:textFill>
            <w14:solidFill>
              <w14:schemeClr w14:val="tx1"/>
            </w14:solidFill>
          </w14:textFill>
        </w:rPr>
        <w:t>等教学全过程。</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师资队伍建设制度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所有新教师进校必须符合学校教师准入条件。新进教师上课，应履行试讲手续。制</w:t>
      </w:r>
      <w:r>
        <w:rPr>
          <w:rFonts w:hint="eastAsia" w:ascii="仿宋_GB2312" w:hAnsi="仿宋_GB2312" w:eastAsia="仿宋_GB2312" w:cs="仿宋_GB2312"/>
          <w:color w:val="000000" w:themeColor="text1"/>
          <w:sz w:val="28"/>
          <w:szCs w:val="28"/>
          <w:highlight w:val="none"/>
          <w14:textFill>
            <w14:solidFill>
              <w14:schemeClr w14:val="tx1"/>
            </w14:solidFill>
          </w14:textFill>
        </w:rPr>
        <w:t>定《专业带头人与骨干教师评选办法》《教师培训与培养实施办法》等制度保障</w:t>
      </w:r>
      <w:r>
        <w:rPr>
          <w:rFonts w:hint="eastAsia" w:ascii="仿宋_GB2312" w:hAnsi="仿宋_GB2312" w:eastAsia="仿宋_GB2312" w:cs="仿宋_GB2312"/>
          <w:color w:val="000000" w:themeColor="text1"/>
          <w:sz w:val="28"/>
          <w:szCs w:val="28"/>
          <w14:textFill>
            <w14:solidFill>
              <w14:schemeClr w14:val="tx1"/>
            </w14:solidFill>
          </w14:textFill>
        </w:rPr>
        <w:t>教师队伍建设工作，提高专业教师的整体素质，确保人才培养质量。</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听课制度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听课制度要求从</w:t>
      </w:r>
      <w:r>
        <w:rPr>
          <w:rFonts w:hint="eastAsia" w:ascii="仿宋_GB2312" w:hAnsi="仿宋_GB2312" w:eastAsia="仿宋_GB2312" w:cs="仿宋_GB2312"/>
          <w:color w:val="000000" w:themeColor="text1"/>
          <w:sz w:val="28"/>
          <w:szCs w:val="28"/>
          <w:lang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领导至新</w:t>
      </w:r>
      <w:r>
        <w:rPr>
          <w:rFonts w:hint="eastAsia" w:ascii="仿宋_GB2312" w:hAnsi="仿宋_GB2312" w:eastAsia="仿宋_GB2312" w:cs="仿宋_GB2312"/>
          <w:color w:val="000000" w:themeColor="text1"/>
          <w:sz w:val="28"/>
          <w:szCs w:val="28"/>
          <w:lang w:eastAsia="zh-CN"/>
          <w14:textFill>
            <w14:solidFill>
              <w14:schemeClr w14:val="tx1"/>
            </w14:solidFill>
          </w14:textFill>
        </w:rPr>
        <w:t>招聘</w:t>
      </w:r>
      <w:r>
        <w:rPr>
          <w:rFonts w:hint="eastAsia" w:ascii="仿宋_GB2312" w:hAnsi="仿宋_GB2312" w:eastAsia="仿宋_GB2312" w:cs="仿宋_GB2312"/>
          <w:color w:val="000000" w:themeColor="text1"/>
          <w:sz w:val="28"/>
          <w:szCs w:val="28"/>
          <w14:textFill>
            <w14:solidFill>
              <w14:schemeClr w14:val="tx1"/>
            </w14:solidFill>
          </w14:textFill>
        </w:rPr>
        <w:t>教师，每学期必须按要求完成一定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量</w:t>
      </w:r>
      <w:r>
        <w:rPr>
          <w:rFonts w:hint="eastAsia" w:ascii="仿宋_GB2312" w:hAnsi="仿宋_GB2312" w:eastAsia="仿宋_GB2312" w:cs="仿宋_GB2312"/>
          <w:color w:val="000000" w:themeColor="text1"/>
          <w:sz w:val="28"/>
          <w:szCs w:val="28"/>
          <w14:textFill>
            <w14:solidFill>
              <w14:schemeClr w14:val="tx1"/>
            </w14:solidFill>
          </w14:textFill>
        </w:rPr>
        <w:t>的听课工作。</w:t>
      </w:r>
      <w:r>
        <w:rPr>
          <w:rFonts w:hint="eastAsia" w:ascii="仿宋_GB2312" w:hAnsi="仿宋_GB2312" w:eastAsia="仿宋_GB2312" w:cs="仿宋_GB2312"/>
          <w:color w:val="000000" w:themeColor="text1"/>
          <w:sz w:val="28"/>
          <w:szCs w:val="28"/>
          <w:lang w:eastAsia="zh-CN"/>
          <w14:textFill>
            <w14:solidFill>
              <w14:schemeClr w14:val="tx1"/>
            </w14:solidFill>
          </w14:textFill>
        </w:rPr>
        <w:t>院</w:t>
      </w:r>
      <w:r>
        <w:rPr>
          <w:rFonts w:hint="eastAsia" w:ascii="仿宋_GB2312" w:hAnsi="仿宋_GB2312" w:eastAsia="仿宋_GB2312" w:cs="仿宋_GB2312"/>
          <w:color w:val="000000" w:themeColor="text1"/>
          <w:sz w:val="28"/>
          <w:szCs w:val="28"/>
          <w14:textFill>
            <w14:solidFill>
              <w14:schemeClr w14:val="tx1"/>
            </w14:solidFill>
          </w14:textFill>
        </w:rPr>
        <w:t>级领导、系主任及行政部门中层干部深入教学第一线定期听课、督查教学过程，解决教学中存在的问题；老教师听课对新教师起到督导和传帮带作用，新教师通过听课掌握教学的基本技巧，学会如何上好一堂课。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教师教学质量考核制度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建立教师考核制度，通过学生评教、教师互评、系部评教的形式，对每一位教师的课堂教学工作做出合理的评价。</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毕业生跟踪调查制度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由各系向用人单位了解毕业生在社会的反响，向毕业生了解学校课程体系和教学内容的社会适应性，根据反馈的信息及时调整培养方案和进行教学改革。</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校企合作制度建设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不断推进校企合作走向深入，与重点合作企业成立“订单班”，共同制定人才培养方案、开发课程、教材等，探索实施人才共育、师资共享、实训条件共建等工作模式</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0"/>
        <w:rPr>
          <w:rFonts w:hint="eastAsia" w:ascii="黑体" w:hAnsi="黑体" w:eastAsia="黑体" w:cs="黑体"/>
          <w:b w:val="0"/>
          <w:bCs/>
          <w:color w:val="000000" w:themeColor="text1"/>
          <w:sz w:val="28"/>
          <w:szCs w:val="28"/>
          <w14:textFill>
            <w14:solidFill>
              <w14:schemeClr w14:val="tx1"/>
            </w14:solidFill>
          </w14:textFill>
        </w:rPr>
      </w:pPr>
      <w:bookmarkStart w:id="50" w:name="_Toc23606"/>
      <w:r>
        <w:rPr>
          <w:rFonts w:hint="eastAsia" w:ascii="黑体" w:hAnsi="黑体" w:eastAsia="黑体" w:cs="黑体"/>
          <w:b w:val="0"/>
          <w:bCs/>
          <w:color w:val="000000" w:themeColor="text1"/>
          <w:sz w:val="28"/>
          <w:szCs w:val="28"/>
          <w:lang w:val="en-US" w:eastAsia="zh-CN"/>
          <w14:textFill>
            <w14:solidFill>
              <w14:schemeClr w14:val="tx1"/>
            </w14:solidFill>
          </w14:textFill>
        </w:rPr>
        <w:t>九、</w:t>
      </w:r>
      <w:r>
        <w:rPr>
          <w:rFonts w:hint="eastAsia" w:ascii="黑体" w:hAnsi="黑体" w:eastAsia="黑体" w:cs="黑体"/>
          <w:b w:val="0"/>
          <w:bCs/>
          <w:color w:val="000000" w:themeColor="text1"/>
          <w:sz w:val="28"/>
          <w:szCs w:val="28"/>
          <w14:textFill>
            <w14:solidFill>
              <w14:schemeClr w14:val="tx1"/>
            </w14:solidFill>
          </w14:textFill>
        </w:rPr>
        <w:t>毕业生要求</w:t>
      </w:r>
      <w:bookmarkEnd w:id="50"/>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top"/>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学生通过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年的学习，要求学生所学的全部课程考试合格，</w:t>
      </w:r>
      <w:r>
        <w:rPr>
          <w:rFonts w:hint="eastAsia" w:ascii="仿宋_GB2312" w:hAnsi="仿宋_GB2312" w:eastAsia="仿宋_GB2312" w:cs="仿宋_GB2312"/>
          <w:color w:val="000000" w:themeColor="text1"/>
          <w:sz w:val="28"/>
          <w:szCs w:val="28"/>
          <w:lang w:eastAsia="zh-CN"/>
          <w14:textFill>
            <w14:solidFill>
              <w14:schemeClr w14:val="tx1"/>
            </w14:solidFill>
          </w14:textFill>
        </w:rPr>
        <w:t>鼓励学生</w:t>
      </w:r>
      <w:r>
        <w:rPr>
          <w:rFonts w:hint="eastAsia" w:ascii="仿宋_GB2312" w:hAnsi="仿宋_GB2312" w:eastAsia="仿宋_GB2312" w:cs="仿宋_GB2312"/>
          <w:color w:val="000000" w:themeColor="text1"/>
          <w:sz w:val="28"/>
          <w:szCs w:val="28"/>
          <w14:textFill>
            <w14:solidFill>
              <w14:schemeClr w14:val="tx1"/>
            </w14:solidFill>
          </w14:textFill>
        </w:rPr>
        <w:t>获得通用证书以及行业资格证书，并达到本专业人才培养目标和培养规格的要求。</w:t>
      </w:r>
      <w:bookmarkStart w:id="51" w:name="_Hlk76643124"/>
      <w:r>
        <w:rPr>
          <w:rFonts w:hint="eastAsia" w:ascii="仿宋_GB2312" w:hAnsi="仿宋_GB2312" w:eastAsia="仿宋_GB2312" w:cs="仿宋_GB2312"/>
          <w:color w:val="000000" w:themeColor="text1"/>
          <w:sz w:val="28"/>
          <w:szCs w:val="28"/>
          <w14:textFill>
            <w14:solidFill>
              <w14:schemeClr w14:val="tx1"/>
            </w14:solidFill>
          </w14:textFill>
        </w:rPr>
        <w:t>学生须修满本专业人才培养方案规定</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的2826学时、152学分</w:t>
      </w:r>
      <w:r>
        <w:rPr>
          <w:rFonts w:hint="eastAsia" w:ascii="仿宋_GB2312" w:hAnsi="仿宋_GB2312" w:eastAsia="仿宋_GB2312" w:cs="仿宋_GB2312"/>
          <w:color w:val="000000" w:themeColor="text1"/>
          <w:sz w:val="28"/>
          <w:szCs w:val="28"/>
          <w14:textFill>
            <w14:solidFill>
              <w14:schemeClr w14:val="tx1"/>
            </w14:solidFill>
          </w14:textFill>
        </w:rPr>
        <w:t>。其中公共基础必修课程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702</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42</w:t>
      </w:r>
      <w:r>
        <w:rPr>
          <w:rFonts w:hint="eastAsia" w:ascii="仿宋_GB2312" w:hAnsi="仿宋_GB2312" w:eastAsia="仿宋_GB2312" w:cs="仿宋_GB2312"/>
          <w:color w:val="000000" w:themeColor="text1"/>
          <w:sz w:val="28"/>
          <w:szCs w:val="28"/>
          <w14:textFill>
            <w14:solidFill>
              <w14:schemeClr w14:val="tx1"/>
            </w14:solidFill>
          </w14:textFill>
        </w:rPr>
        <w:t>学分；专业技能必修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课程1644学时、80学</w:t>
      </w:r>
      <w:r>
        <w:rPr>
          <w:rFonts w:hint="eastAsia" w:ascii="仿宋_GB2312" w:hAnsi="仿宋_GB2312" w:eastAsia="仿宋_GB2312" w:cs="仿宋_GB2312"/>
          <w:color w:val="000000" w:themeColor="text1"/>
          <w:sz w:val="28"/>
          <w:szCs w:val="28"/>
          <w14:textFill>
            <w14:solidFill>
              <w14:schemeClr w14:val="tx1"/>
            </w14:solidFill>
          </w14:textFill>
        </w:rPr>
        <w:t>分；公共基础选修课程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96</w:t>
      </w:r>
      <w:r>
        <w:rPr>
          <w:rFonts w:hint="eastAsia" w:ascii="仿宋_GB2312" w:hAnsi="仿宋_GB2312" w:eastAsia="仿宋_GB2312" w:cs="仿宋_GB2312"/>
          <w:color w:val="000000" w:themeColor="text1"/>
          <w:sz w:val="28"/>
          <w:szCs w:val="28"/>
          <w14:textFill>
            <w14:solidFill>
              <w14:schemeClr w14:val="tx1"/>
            </w14:solidFill>
          </w14:textFill>
        </w:rPr>
        <w:t>课</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时、6学分</w:t>
      </w:r>
      <w:r>
        <w:rPr>
          <w:rFonts w:hint="eastAsia" w:ascii="仿宋_GB2312" w:hAnsi="仿宋_GB2312" w:eastAsia="仿宋_GB2312" w:cs="仿宋_GB2312"/>
          <w:color w:val="000000" w:themeColor="text1"/>
          <w:sz w:val="28"/>
          <w:szCs w:val="28"/>
          <w14:textFill>
            <w14:solidFill>
              <w14:schemeClr w14:val="tx1"/>
            </w14:solidFill>
          </w14:textFill>
        </w:rPr>
        <w:t>；专业技能选修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课程384课时、24学</w:t>
      </w:r>
      <w:r>
        <w:rPr>
          <w:rFonts w:hint="eastAsia" w:ascii="仿宋_GB2312" w:hAnsi="仿宋_GB2312" w:eastAsia="仿宋_GB2312" w:cs="仿宋_GB2312"/>
          <w:color w:val="000000" w:themeColor="text1"/>
          <w:sz w:val="28"/>
          <w:szCs w:val="28"/>
          <w14:textFill>
            <w14:solidFill>
              <w14:schemeClr w14:val="tx1"/>
            </w14:solidFill>
          </w14:textFill>
        </w:rPr>
        <w:t>分。</w:t>
      </w:r>
      <w:bookmarkEnd w:id="51"/>
    </w:p>
    <w:p>
      <w:pPr>
        <w:snapToGrid w:val="0"/>
        <w:contextualSpacing/>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sectPr>
      <w:headerReference r:id="rId7" w:type="default"/>
      <w:footerReference r:id="rId8" w:type="default"/>
      <w:pgSz w:w="11906" w:h="16838"/>
      <w:pgMar w:top="993" w:right="1418" w:bottom="1134" w:left="1133" w:header="737" w:footer="595"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Wingdings 3">
    <w:panose1 w:val="05040102010807070707"/>
    <w:charset w:val="00"/>
    <w:family w:val="auto"/>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Arial Black">
    <w:panose1 w:val="020B0A04020102020204"/>
    <w:charset w:val="00"/>
    <w:family w:val="auto"/>
    <w:pitch w:val="default"/>
    <w:sig w:usb0="00000287" w:usb1="00000000" w:usb2="00000000" w:usb3="00000000" w:csb0="2000009F" w:csb1="DFD7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Segoe UI Variable Text">
    <w:altName w:val="Segoe UI"/>
    <w:panose1 w:val="00000000000000000000"/>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00"/>
        <w:tab w:val="right" w:pos="14690"/>
      </w:tabs>
      <w:ind w:firstLine="42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mc:AlternateContent>
        <mc:Choice Requires="wps">
          <w:drawing>
            <wp:anchor distT="0" distB="0" distL="114300" distR="114300" simplePos="0" relativeHeight="251660288" behindDoc="0" locked="0" layoutInCell="0" allowOverlap="1">
              <wp:simplePos x="0" y="0"/>
              <wp:positionH relativeFrom="page">
                <wp:posOffset>-20955</wp:posOffset>
              </wp:positionH>
              <wp:positionV relativeFrom="page">
                <wp:posOffset>3332480</wp:posOffset>
              </wp:positionV>
              <wp:extent cx="762000" cy="895350"/>
              <wp:effectExtent l="0" t="0" r="0" b="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id="矩形 3" o:spid="_x0000_s1026" o:spt="1" style="position:absolute;left:0pt;margin-left:-1.65pt;margin-top:262.4pt;height:70.5pt;width:60pt;mso-position-horizontal-relative:page;mso-position-vertical-relative:page;z-index:251660288;mso-width-relative:page;mso-height-relative:page;" fillcolor="#FFFFFF" filled="t" stroked="f" coordsize="21600,21600" o:allowincell="f"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v:fill on="t" focussize="0,0"/>
              <v:stroke on="f"/>
              <v:imagedata o:title=""/>
              <o:lock v:ext="edit" aspectratio="f"/>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pStyle w:val="10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Njk5YjkwNTZjMWQ2OTk3M2YzOTMzMThkODdiYTEifQ=="/>
  </w:docVars>
  <w:rsids>
    <w:rsidRoot w:val="00396F2A"/>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802F6"/>
    <w:rsid w:val="001D54D3"/>
    <w:rsid w:val="001F5D4C"/>
    <w:rsid w:val="002075F3"/>
    <w:rsid w:val="002078A9"/>
    <w:rsid w:val="00214E4A"/>
    <w:rsid w:val="00216FF8"/>
    <w:rsid w:val="00221FB9"/>
    <w:rsid w:val="0022406A"/>
    <w:rsid w:val="0025164C"/>
    <w:rsid w:val="0025752D"/>
    <w:rsid w:val="0027150D"/>
    <w:rsid w:val="002A5AA4"/>
    <w:rsid w:val="002B4721"/>
    <w:rsid w:val="002B482E"/>
    <w:rsid w:val="002B5902"/>
    <w:rsid w:val="002D595A"/>
    <w:rsid w:val="002E4C3C"/>
    <w:rsid w:val="002E4F69"/>
    <w:rsid w:val="002F19CB"/>
    <w:rsid w:val="00327A34"/>
    <w:rsid w:val="00345116"/>
    <w:rsid w:val="00351689"/>
    <w:rsid w:val="00370C95"/>
    <w:rsid w:val="00371A6C"/>
    <w:rsid w:val="00384377"/>
    <w:rsid w:val="003875DF"/>
    <w:rsid w:val="00387718"/>
    <w:rsid w:val="00391215"/>
    <w:rsid w:val="00396385"/>
    <w:rsid w:val="00396F2A"/>
    <w:rsid w:val="003B487F"/>
    <w:rsid w:val="003C7B60"/>
    <w:rsid w:val="003E21F2"/>
    <w:rsid w:val="003E6E1E"/>
    <w:rsid w:val="00401558"/>
    <w:rsid w:val="00402400"/>
    <w:rsid w:val="004223C6"/>
    <w:rsid w:val="00450884"/>
    <w:rsid w:val="004523A5"/>
    <w:rsid w:val="0046530D"/>
    <w:rsid w:val="00477537"/>
    <w:rsid w:val="00477EF0"/>
    <w:rsid w:val="004A338A"/>
    <w:rsid w:val="004A4849"/>
    <w:rsid w:val="004C0546"/>
    <w:rsid w:val="004E541C"/>
    <w:rsid w:val="004E6C6B"/>
    <w:rsid w:val="004F3CDA"/>
    <w:rsid w:val="005005FF"/>
    <w:rsid w:val="00502B79"/>
    <w:rsid w:val="0051119A"/>
    <w:rsid w:val="00530CB6"/>
    <w:rsid w:val="005409C2"/>
    <w:rsid w:val="00541959"/>
    <w:rsid w:val="00553A10"/>
    <w:rsid w:val="005639F1"/>
    <w:rsid w:val="005703D9"/>
    <w:rsid w:val="005778B9"/>
    <w:rsid w:val="005B0C12"/>
    <w:rsid w:val="005C7255"/>
    <w:rsid w:val="005D7AD6"/>
    <w:rsid w:val="006138A7"/>
    <w:rsid w:val="006379ED"/>
    <w:rsid w:val="00687BF5"/>
    <w:rsid w:val="006A7A69"/>
    <w:rsid w:val="006F3596"/>
    <w:rsid w:val="006F526C"/>
    <w:rsid w:val="006F7CC9"/>
    <w:rsid w:val="0070401C"/>
    <w:rsid w:val="00714EB3"/>
    <w:rsid w:val="00740C94"/>
    <w:rsid w:val="00756351"/>
    <w:rsid w:val="00782DF5"/>
    <w:rsid w:val="007A227B"/>
    <w:rsid w:val="007A6498"/>
    <w:rsid w:val="007B0929"/>
    <w:rsid w:val="007B1E2F"/>
    <w:rsid w:val="007D2883"/>
    <w:rsid w:val="007E1B22"/>
    <w:rsid w:val="007E2EF7"/>
    <w:rsid w:val="007E6C39"/>
    <w:rsid w:val="0080172C"/>
    <w:rsid w:val="00812401"/>
    <w:rsid w:val="00815D72"/>
    <w:rsid w:val="00823AC8"/>
    <w:rsid w:val="00846678"/>
    <w:rsid w:val="008726FA"/>
    <w:rsid w:val="008737A6"/>
    <w:rsid w:val="008865D4"/>
    <w:rsid w:val="008B5A1C"/>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B50CD6"/>
    <w:rsid w:val="00B55E8B"/>
    <w:rsid w:val="00B7238C"/>
    <w:rsid w:val="00B96017"/>
    <w:rsid w:val="00BE0D51"/>
    <w:rsid w:val="00BE188E"/>
    <w:rsid w:val="00BF2386"/>
    <w:rsid w:val="00BF3AAE"/>
    <w:rsid w:val="00BF52BD"/>
    <w:rsid w:val="00BF7A87"/>
    <w:rsid w:val="00C00125"/>
    <w:rsid w:val="00C01DB6"/>
    <w:rsid w:val="00C20334"/>
    <w:rsid w:val="00C22AD3"/>
    <w:rsid w:val="00C603FA"/>
    <w:rsid w:val="00C71339"/>
    <w:rsid w:val="00C72132"/>
    <w:rsid w:val="00C77E5C"/>
    <w:rsid w:val="00C92ED0"/>
    <w:rsid w:val="00CA79EC"/>
    <w:rsid w:val="00CC0072"/>
    <w:rsid w:val="00CD02C0"/>
    <w:rsid w:val="00CE48B5"/>
    <w:rsid w:val="00CE51E8"/>
    <w:rsid w:val="00CE62B0"/>
    <w:rsid w:val="00D50ED3"/>
    <w:rsid w:val="00D52022"/>
    <w:rsid w:val="00D614BC"/>
    <w:rsid w:val="00D63058"/>
    <w:rsid w:val="00D70072"/>
    <w:rsid w:val="00D70AE3"/>
    <w:rsid w:val="00D97E58"/>
    <w:rsid w:val="00DA1F42"/>
    <w:rsid w:val="00DD463C"/>
    <w:rsid w:val="00E35BFA"/>
    <w:rsid w:val="00E62BA3"/>
    <w:rsid w:val="00E76834"/>
    <w:rsid w:val="00E80B5F"/>
    <w:rsid w:val="00E83E0D"/>
    <w:rsid w:val="00E87C42"/>
    <w:rsid w:val="00E9288A"/>
    <w:rsid w:val="00E9362E"/>
    <w:rsid w:val="00E93794"/>
    <w:rsid w:val="00EA37BD"/>
    <w:rsid w:val="00EB5602"/>
    <w:rsid w:val="00EC5412"/>
    <w:rsid w:val="00EC7C27"/>
    <w:rsid w:val="00EF079A"/>
    <w:rsid w:val="00F22480"/>
    <w:rsid w:val="00F24A99"/>
    <w:rsid w:val="00F508BE"/>
    <w:rsid w:val="00F804B3"/>
    <w:rsid w:val="00F86244"/>
    <w:rsid w:val="00F8642C"/>
    <w:rsid w:val="00F9056A"/>
    <w:rsid w:val="00FA0F59"/>
    <w:rsid w:val="00FB28E8"/>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BB3142"/>
    <w:rsid w:val="04C12814"/>
    <w:rsid w:val="04D171D5"/>
    <w:rsid w:val="050A4C6D"/>
    <w:rsid w:val="055A235A"/>
    <w:rsid w:val="055A4D0C"/>
    <w:rsid w:val="056326BB"/>
    <w:rsid w:val="05926AFC"/>
    <w:rsid w:val="059646F9"/>
    <w:rsid w:val="05D71955"/>
    <w:rsid w:val="06212BB5"/>
    <w:rsid w:val="068E240A"/>
    <w:rsid w:val="06CB1E16"/>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0EF6542"/>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FF5B47"/>
    <w:rsid w:val="171C3891"/>
    <w:rsid w:val="176022CD"/>
    <w:rsid w:val="177B7D38"/>
    <w:rsid w:val="17996410"/>
    <w:rsid w:val="17A61C13"/>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2B55D1"/>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6550AF"/>
    <w:rsid w:val="3BD50F16"/>
    <w:rsid w:val="3BEE1905"/>
    <w:rsid w:val="3C983C09"/>
    <w:rsid w:val="3CAA23A2"/>
    <w:rsid w:val="3CCD6091"/>
    <w:rsid w:val="3CDC14CC"/>
    <w:rsid w:val="3CE1162D"/>
    <w:rsid w:val="3D2D6B2F"/>
    <w:rsid w:val="3D3E0D3C"/>
    <w:rsid w:val="3D404D73"/>
    <w:rsid w:val="3DCB0822"/>
    <w:rsid w:val="3DD9532E"/>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9491C"/>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8005B8"/>
    <w:rsid w:val="52AA01DD"/>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9F7F5A"/>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622370"/>
    <w:rsid w:val="5E797DB4"/>
    <w:rsid w:val="5E8C71F4"/>
    <w:rsid w:val="5E9A40E6"/>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3A6C3E"/>
    <w:rsid w:val="62406462"/>
    <w:rsid w:val="62620545"/>
    <w:rsid w:val="6267026A"/>
    <w:rsid w:val="627604AD"/>
    <w:rsid w:val="62AC69A0"/>
    <w:rsid w:val="62DA4EE0"/>
    <w:rsid w:val="62E0001C"/>
    <w:rsid w:val="63844E4C"/>
    <w:rsid w:val="63B44D9E"/>
    <w:rsid w:val="63D04815"/>
    <w:rsid w:val="63F31E1F"/>
    <w:rsid w:val="641D31F4"/>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8FF7AF0"/>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703B31"/>
    <w:rsid w:val="7F7A3141"/>
    <w:rsid w:val="7FB14DC3"/>
    <w:rsid w:val="7FBF4FBD"/>
    <w:rsid w:val="7FDB6AF0"/>
    <w:rsid w:val="7FE9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2520" w:leftChars="1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annotation text"/>
    <w:basedOn w:val="1"/>
    <w:link w:val="57"/>
    <w:qFormat/>
    <w:uiPriority w:val="0"/>
    <w:pPr>
      <w:jc w:val="left"/>
    </w:pPr>
    <w:rPr>
      <w:szCs w:val="24"/>
    </w:rPr>
  </w:style>
  <w:style w:type="paragraph" w:styleId="8">
    <w:name w:val="Body Text"/>
    <w:basedOn w:val="1"/>
    <w:link w:val="64"/>
    <w:qFormat/>
    <w:uiPriority w:val="0"/>
    <w:pPr>
      <w:ind w:left="101"/>
    </w:pPr>
    <w:rPr>
      <w:rFonts w:ascii="宋体" w:hAnsi="宋体" w:eastAsia="宋体" w:cs="Times New Roman"/>
      <w:sz w:val="28"/>
      <w:szCs w:val="28"/>
    </w:rPr>
  </w:style>
  <w:style w:type="paragraph" w:styleId="9">
    <w:name w:val="Body Text Indent"/>
    <w:basedOn w:val="1"/>
    <w:link w:val="45"/>
    <w:qFormat/>
    <w:uiPriority w:val="0"/>
    <w:pPr>
      <w:ind w:left="720"/>
    </w:pPr>
    <w:rPr>
      <w:rFonts w:eastAsia="宋体"/>
      <w:szCs w:val="24"/>
    </w:r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47"/>
    <w:qFormat/>
    <w:uiPriority w:val="0"/>
    <w:rPr>
      <w:rFonts w:ascii="宋体" w:hAnsi="Courier New" w:eastAsia="宋体"/>
      <w:szCs w:val="21"/>
    </w:rPr>
  </w:style>
  <w:style w:type="paragraph" w:styleId="13">
    <w:name w:val="toc 8"/>
    <w:basedOn w:val="1"/>
    <w:next w:val="1"/>
    <w:unhideWhenUsed/>
    <w:qFormat/>
    <w:uiPriority w:val="0"/>
    <w:pPr>
      <w:ind w:left="2940" w:leftChars="1400"/>
    </w:pPr>
  </w:style>
  <w:style w:type="paragraph" w:styleId="14">
    <w:name w:val="Balloon Text"/>
    <w:basedOn w:val="1"/>
    <w:link w:val="50"/>
    <w:qFormat/>
    <w:uiPriority w:val="0"/>
    <w:rPr>
      <w:rFonts w:eastAsia="宋体"/>
      <w:sz w:val="18"/>
      <w:szCs w:val="18"/>
    </w:rPr>
  </w:style>
  <w:style w:type="paragraph" w:styleId="15">
    <w:name w:val="footer"/>
    <w:basedOn w:val="1"/>
    <w:link w:val="46"/>
    <w:qFormat/>
    <w:uiPriority w:val="0"/>
    <w:pPr>
      <w:tabs>
        <w:tab w:val="center" w:pos="4153"/>
        <w:tab w:val="right" w:pos="8306"/>
      </w:tabs>
      <w:snapToGrid w:val="0"/>
      <w:jc w:val="left"/>
    </w:pPr>
    <w:rPr>
      <w:rFonts w:eastAsia="宋体"/>
      <w:sz w:val="18"/>
      <w:szCs w:val="18"/>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unhideWhenUsed/>
    <w:qFormat/>
    <w:uiPriority w:val="0"/>
    <w:pPr>
      <w:ind w:left="1260" w:leftChars="600"/>
    </w:pPr>
  </w:style>
  <w:style w:type="paragraph" w:styleId="19">
    <w:name w:val="Subtitle"/>
    <w:basedOn w:val="1"/>
    <w:next w:val="1"/>
    <w:link w:val="10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toc 6"/>
    <w:basedOn w:val="1"/>
    <w:next w:val="1"/>
    <w:unhideWhenUsed/>
    <w:qFormat/>
    <w:uiPriority w:val="0"/>
    <w:pPr>
      <w:ind w:left="2100" w:leftChars="1000"/>
    </w:pPr>
  </w:style>
  <w:style w:type="paragraph" w:styleId="21">
    <w:name w:val="toc 2"/>
    <w:basedOn w:val="1"/>
    <w:next w:val="1"/>
    <w:qFormat/>
    <w:uiPriority w:val="0"/>
    <w:pPr>
      <w:ind w:left="420" w:leftChars="200"/>
    </w:pPr>
    <w:rPr>
      <w:rFonts w:ascii="Times New Roman" w:hAnsi="Times New Roman" w:eastAsia="宋体" w:cs="Times New Roman"/>
      <w:szCs w:val="24"/>
    </w:rPr>
  </w:style>
  <w:style w:type="paragraph" w:styleId="22">
    <w:name w:val="toc 9"/>
    <w:basedOn w:val="1"/>
    <w:next w:val="1"/>
    <w:unhideWhenUsed/>
    <w:qFormat/>
    <w:uiPriority w:val="0"/>
    <w:pPr>
      <w:ind w:left="3360" w:leftChars="1600"/>
    </w:pPr>
  </w:style>
  <w:style w:type="paragraph" w:styleId="23">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58"/>
    <w:qFormat/>
    <w:uiPriority w:val="0"/>
    <w:pPr>
      <w:spacing w:before="240" w:after="60"/>
      <w:jc w:val="center"/>
      <w:outlineLvl w:val="0"/>
    </w:pPr>
    <w:rPr>
      <w:rFonts w:ascii="Cambria" w:hAnsi="Cambria" w:eastAsia="宋体"/>
      <w:b/>
      <w:bCs/>
      <w:sz w:val="32"/>
      <w:szCs w:val="32"/>
    </w:rPr>
  </w:style>
  <w:style w:type="paragraph" w:styleId="26">
    <w:name w:val="annotation subject"/>
    <w:basedOn w:val="7"/>
    <w:next w:val="7"/>
    <w:link w:val="77"/>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basedOn w:val="29"/>
    <w:qFormat/>
    <w:uiPriority w:val="0"/>
    <w:rPr>
      <w:i/>
    </w:rPr>
  </w:style>
  <w:style w:type="character" w:styleId="32">
    <w:name w:val="Hyperlink"/>
    <w:qFormat/>
    <w:uiPriority w:val="99"/>
    <w:rPr>
      <w:color w:val="0063C8"/>
      <w:u w:val="none"/>
    </w:rPr>
  </w:style>
  <w:style w:type="character" w:styleId="33">
    <w:name w:val="annotation reference"/>
    <w:qFormat/>
    <w:uiPriority w:val="0"/>
    <w:rPr>
      <w:sz w:val="21"/>
      <w:szCs w:val="21"/>
    </w:rPr>
  </w:style>
  <w:style w:type="paragraph" w:customStyle="1" w:styleId="34">
    <w:name w:val="样式1"/>
    <w:basedOn w:val="35"/>
    <w:link w:val="121"/>
    <w:qFormat/>
    <w:uiPriority w:val="0"/>
    <w:pPr>
      <w:tabs>
        <w:tab w:val="left" w:pos="993"/>
        <w:tab w:val="left" w:pos="1620"/>
      </w:tabs>
      <w:jc w:val="right"/>
    </w:pPr>
    <w:rPr>
      <w:b w:val="0"/>
      <w:sz w:val="21"/>
    </w:rPr>
  </w:style>
  <w:style w:type="paragraph" w:customStyle="1" w:styleId="35">
    <w:name w:val="章节标题"/>
    <w:basedOn w:val="1"/>
    <w:link w:val="8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6">
    <w:name w:val="中等深浅网格 21"/>
    <w:basedOn w:val="27"/>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7">
    <w:name w:val="标题 1 字符1"/>
    <w:basedOn w:val="29"/>
    <w:link w:val="2"/>
    <w:qFormat/>
    <w:uiPriority w:val="0"/>
    <w:rPr>
      <w:rFonts w:ascii="Times New Roman" w:hAnsi="Times New Roman" w:eastAsia="宋体" w:cs="Times New Roman"/>
      <w:b/>
      <w:bCs/>
      <w:kern w:val="44"/>
      <w:sz w:val="44"/>
      <w:szCs w:val="44"/>
    </w:rPr>
  </w:style>
  <w:style w:type="character" w:customStyle="1" w:styleId="38">
    <w:name w:val="标题 2 字符1"/>
    <w:basedOn w:val="29"/>
    <w:link w:val="3"/>
    <w:qFormat/>
    <w:uiPriority w:val="0"/>
    <w:rPr>
      <w:rFonts w:ascii="宋体" w:hAnsi="宋体" w:eastAsia="宋体" w:cs="宋体"/>
      <w:b/>
      <w:bCs/>
      <w:sz w:val="36"/>
      <w:szCs w:val="36"/>
    </w:rPr>
  </w:style>
  <w:style w:type="character" w:customStyle="1" w:styleId="39">
    <w:name w:val="标题 3 字符"/>
    <w:basedOn w:val="29"/>
    <w:link w:val="4"/>
    <w:qFormat/>
    <w:uiPriority w:val="0"/>
    <w:rPr>
      <w:rFonts w:ascii="Times New Roman" w:hAnsi="Times New Roman" w:eastAsia="宋体" w:cs="Times New Roman"/>
      <w:b/>
      <w:sz w:val="32"/>
      <w:szCs w:val="24"/>
    </w:rPr>
  </w:style>
  <w:style w:type="character" w:customStyle="1" w:styleId="40">
    <w:name w:val="apple-style-span"/>
    <w:basedOn w:val="29"/>
    <w:qFormat/>
    <w:uiPriority w:val="0"/>
  </w:style>
  <w:style w:type="character" w:customStyle="1" w:styleId="41">
    <w:name w:val="font51"/>
    <w:qFormat/>
    <w:uiPriority w:val="0"/>
    <w:rPr>
      <w:rFonts w:hint="eastAsia" w:ascii="宋体" w:hAnsi="宋体" w:eastAsia="宋体" w:cs="宋体"/>
      <w:color w:val="000000"/>
      <w:sz w:val="21"/>
      <w:szCs w:val="21"/>
      <w:u w:val="none"/>
    </w:rPr>
  </w:style>
  <w:style w:type="character" w:customStyle="1" w:styleId="42">
    <w:name w:val="标题1 Char Char"/>
    <w:link w:val="43"/>
    <w:qFormat/>
    <w:uiPriority w:val="0"/>
    <w:rPr>
      <w:rFonts w:eastAsia="宋体"/>
      <w:b/>
      <w:color w:val="000000"/>
      <w:sz w:val="24"/>
      <w:u w:color="000000"/>
    </w:rPr>
  </w:style>
  <w:style w:type="paragraph" w:customStyle="1" w:styleId="43">
    <w:name w:val="标题1"/>
    <w:basedOn w:val="6"/>
    <w:link w:val="42"/>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4">
    <w:name w:val="Char Char6"/>
    <w:qFormat/>
    <w:uiPriority w:val="0"/>
    <w:rPr>
      <w:rFonts w:ascii="Cambria" w:hAnsi="Cambria" w:eastAsia="宋体"/>
      <w:b/>
      <w:bCs/>
      <w:kern w:val="2"/>
      <w:sz w:val="32"/>
      <w:szCs w:val="32"/>
      <w:lang w:bidi="ar-SA"/>
    </w:rPr>
  </w:style>
  <w:style w:type="character" w:customStyle="1" w:styleId="45">
    <w:name w:val="正文文本缩进 字符1"/>
    <w:link w:val="9"/>
    <w:qFormat/>
    <w:uiPriority w:val="0"/>
    <w:rPr>
      <w:rFonts w:eastAsia="宋体"/>
      <w:szCs w:val="24"/>
    </w:rPr>
  </w:style>
  <w:style w:type="character" w:customStyle="1" w:styleId="46">
    <w:name w:val="页脚 字符1"/>
    <w:link w:val="15"/>
    <w:qFormat/>
    <w:uiPriority w:val="0"/>
    <w:rPr>
      <w:rFonts w:eastAsia="宋体"/>
      <w:sz w:val="18"/>
      <w:szCs w:val="18"/>
    </w:rPr>
  </w:style>
  <w:style w:type="character" w:customStyle="1" w:styleId="47">
    <w:name w:val="纯文本 字符1"/>
    <w:link w:val="12"/>
    <w:qFormat/>
    <w:uiPriority w:val="0"/>
    <w:rPr>
      <w:rFonts w:ascii="宋体" w:hAnsi="Courier New" w:eastAsia="宋体"/>
      <w:szCs w:val="21"/>
    </w:rPr>
  </w:style>
  <w:style w:type="character" w:customStyle="1" w:styleId="48">
    <w:name w:val="正文 + 宋体 Char Char"/>
    <w:link w:val="49"/>
    <w:qFormat/>
    <w:uiPriority w:val="0"/>
    <w:rPr>
      <w:rFonts w:ascii="宋体" w:hAnsi="宋体" w:eastAsia="宋体"/>
      <w:szCs w:val="21"/>
    </w:rPr>
  </w:style>
  <w:style w:type="paragraph" w:customStyle="1" w:styleId="49">
    <w:name w:val="正文 + 宋体"/>
    <w:basedOn w:val="1"/>
    <w:link w:val="48"/>
    <w:qFormat/>
    <w:uiPriority w:val="0"/>
    <w:pPr>
      <w:snapToGrid w:val="0"/>
      <w:ind w:firstLine="420" w:firstLineChars="200"/>
    </w:pPr>
    <w:rPr>
      <w:rFonts w:ascii="宋体" w:hAnsi="宋体" w:eastAsia="宋体"/>
      <w:szCs w:val="21"/>
    </w:rPr>
  </w:style>
  <w:style w:type="character" w:customStyle="1" w:styleId="50">
    <w:name w:val="批注框文本 字符1"/>
    <w:link w:val="14"/>
    <w:qFormat/>
    <w:uiPriority w:val="0"/>
    <w:rPr>
      <w:rFonts w:eastAsia="宋体"/>
      <w:sz w:val="18"/>
      <w:szCs w:val="18"/>
    </w:rPr>
  </w:style>
  <w:style w:type="character" w:customStyle="1" w:styleId="51">
    <w:name w:val="font21"/>
    <w:qFormat/>
    <w:uiPriority w:val="0"/>
    <w:rPr>
      <w:rFonts w:hint="eastAsia" w:ascii="宋体" w:hAnsi="宋体" w:eastAsia="宋体" w:cs="宋体"/>
      <w:color w:val="FF0000"/>
      <w:sz w:val="21"/>
      <w:szCs w:val="21"/>
      <w:u w:val="none"/>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大纲正文 Char Char"/>
    <w:link w:val="55"/>
    <w:qFormat/>
    <w:uiPriority w:val="0"/>
    <w:rPr>
      <w:rFonts w:eastAsia="宋体"/>
      <w:color w:val="000000"/>
      <w:u w:color="000000"/>
    </w:rPr>
  </w:style>
  <w:style w:type="paragraph" w:customStyle="1" w:styleId="55">
    <w:name w:val="大纲正文"/>
    <w:basedOn w:val="1"/>
    <w:link w:val="54"/>
    <w:qFormat/>
    <w:uiPriority w:val="0"/>
    <w:pPr>
      <w:snapToGrid w:val="0"/>
      <w:ind w:firstLine="200" w:firstLineChars="200"/>
      <w:textAlignment w:val="baseline"/>
    </w:pPr>
    <w:rPr>
      <w:rFonts w:eastAsia="宋体"/>
      <w:color w:val="000000"/>
      <w:u w:color="000000"/>
    </w:rPr>
  </w:style>
  <w:style w:type="character" w:customStyle="1" w:styleId="56">
    <w:name w:val="中等深浅网格 2 Char"/>
    <w:qFormat/>
    <w:uiPriority w:val="0"/>
    <w:rPr>
      <w:rFonts w:ascii="Calibri" w:hAnsi="Calibri"/>
      <w:sz w:val="22"/>
      <w:szCs w:val="22"/>
      <w:lang w:val="en-US" w:eastAsia="zh-CN" w:bidi="ar-SA"/>
    </w:rPr>
  </w:style>
  <w:style w:type="character" w:customStyle="1" w:styleId="57">
    <w:name w:val="批注文字 字符1"/>
    <w:link w:val="7"/>
    <w:qFormat/>
    <w:uiPriority w:val="0"/>
    <w:rPr>
      <w:szCs w:val="24"/>
    </w:rPr>
  </w:style>
  <w:style w:type="character" w:customStyle="1" w:styleId="58">
    <w:name w:val="标题 字符1"/>
    <w:link w:val="25"/>
    <w:qFormat/>
    <w:uiPriority w:val="0"/>
    <w:rPr>
      <w:rFonts w:ascii="Cambria" w:hAnsi="Cambria" w:eastAsia="宋体"/>
      <w:b/>
      <w:bCs/>
      <w:sz w:val="32"/>
      <w:szCs w:val="32"/>
    </w:rPr>
  </w:style>
  <w:style w:type="character" w:customStyle="1" w:styleId="59">
    <w:name w:val="页眉 字符1"/>
    <w:link w:val="16"/>
    <w:qFormat/>
    <w:uiPriority w:val="0"/>
    <w:rPr>
      <w:rFonts w:eastAsia="宋体"/>
      <w:sz w:val="18"/>
      <w:szCs w:val="18"/>
    </w:rPr>
  </w:style>
  <w:style w:type="character" w:customStyle="1" w:styleId="60">
    <w:name w:val="font01"/>
    <w:qFormat/>
    <w:uiPriority w:val="0"/>
    <w:rPr>
      <w:rFonts w:hint="default" w:ascii="Times New Roman" w:hAnsi="Times New Roman" w:cs="Times New Roman"/>
      <w:color w:val="FF0000"/>
      <w:sz w:val="21"/>
      <w:szCs w:val="21"/>
      <w:u w:val="none"/>
    </w:rPr>
  </w:style>
  <w:style w:type="paragraph" w:customStyle="1" w:styleId="61">
    <w:name w:val="Table Paragraph"/>
    <w:basedOn w:val="1"/>
    <w:qFormat/>
    <w:uiPriority w:val="1"/>
    <w:rPr>
      <w:rFonts w:ascii="Times New Roman" w:hAnsi="Times New Roman" w:eastAsia="宋体" w:cs="Times New Roman"/>
      <w:szCs w:val="24"/>
    </w:rPr>
  </w:style>
  <w:style w:type="character" w:customStyle="1" w:styleId="62">
    <w:name w:val="HTML 预设格式 字符"/>
    <w:basedOn w:val="29"/>
    <w:link w:val="23"/>
    <w:qFormat/>
    <w:uiPriority w:val="99"/>
    <w:rPr>
      <w:rFonts w:ascii="Wingdings 3" w:hAnsi="Wingdings 3" w:eastAsia="Wingdings 3" w:cs="Times New Roman"/>
      <w:kern w:val="0"/>
      <w:sz w:val="24"/>
      <w:szCs w:val="24"/>
    </w:rPr>
  </w:style>
  <w:style w:type="character" w:customStyle="1" w:styleId="63">
    <w:name w:val="批注文字 Char1"/>
    <w:basedOn w:val="29"/>
    <w:semiHidden/>
    <w:qFormat/>
    <w:uiPriority w:val="99"/>
  </w:style>
  <w:style w:type="character" w:customStyle="1" w:styleId="64">
    <w:name w:val="正文文本 字符"/>
    <w:basedOn w:val="29"/>
    <w:link w:val="8"/>
    <w:qFormat/>
    <w:uiPriority w:val="1"/>
    <w:rPr>
      <w:rFonts w:ascii="宋体" w:hAnsi="宋体" w:eastAsia="宋体" w:cs="Times New Roman"/>
      <w:sz w:val="28"/>
      <w:szCs w:val="28"/>
    </w:rPr>
  </w:style>
  <w:style w:type="character" w:customStyle="1" w:styleId="65">
    <w:name w:val="纯文本 Char1"/>
    <w:basedOn w:val="29"/>
    <w:semiHidden/>
    <w:qFormat/>
    <w:uiPriority w:val="99"/>
    <w:rPr>
      <w:rFonts w:ascii="宋体" w:hAnsi="Courier New" w:eastAsia="宋体" w:cs="Courier New"/>
      <w:szCs w:val="21"/>
    </w:rPr>
  </w:style>
  <w:style w:type="character" w:customStyle="1" w:styleId="66">
    <w:name w:val="正文文本缩进 Char1"/>
    <w:basedOn w:val="29"/>
    <w:semiHidden/>
    <w:qFormat/>
    <w:uiPriority w:val="99"/>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p0"/>
    <w:basedOn w:val="1"/>
    <w:qFormat/>
    <w:uiPriority w:val="0"/>
    <w:pPr>
      <w:widowControl/>
    </w:pPr>
    <w:rPr>
      <w:rFonts w:ascii="Times New Roman" w:hAnsi="Times New Roman" w:eastAsia="宋体" w:cs="Times New Roman"/>
      <w:kern w:val="0"/>
      <w:szCs w:val="21"/>
    </w:rPr>
  </w:style>
  <w:style w:type="paragraph" w:customStyle="1" w:styleId="6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0">
    <w:name w:val="页脚 Char1"/>
    <w:basedOn w:val="29"/>
    <w:semiHidden/>
    <w:qFormat/>
    <w:uiPriority w:val="99"/>
    <w:rPr>
      <w:sz w:val="18"/>
      <w:szCs w:val="18"/>
    </w:rPr>
  </w:style>
  <w:style w:type="paragraph" w:customStyle="1" w:styleId="71">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页眉 Char1"/>
    <w:basedOn w:val="29"/>
    <w:semiHidden/>
    <w:qFormat/>
    <w:uiPriority w:val="99"/>
    <w:rPr>
      <w:sz w:val="18"/>
      <w:szCs w:val="18"/>
    </w:rPr>
  </w:style>
  <w:style w:type="character" w:customStyle="1" w:styleId="73">
    <w:name w:val="批注框文本 Char1"/>
    <w:basedOn w:val="29"/>
    <w:semiHidden/>
    <w:qFormat/>
    <w:uiPriority w:val="99"/>
    <w:rPr>
      <w:sz w:val="18"/>
      <w:szCs w:val="18"/>
    </w:rPr>
  </w:style>
  <w:style w:type="paragraph" w:customStyle="1" w:styleId="74">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5">
    <w:name w:val="列出段落1"/>
    <w:basedOn w:val="1"/>
    <w:qFormat/>
    <w:uiPriority w:val="34"/>
    <w:pPr>
      <w:ind w:firstLine="420" w:firstLineChars="200"/>
    </w:pPr>
    <w:rPr>
      <w:rFonts w:ascii="Times New Roman" w:hAnsi="Times New Roman" w:eastAsia="宋体" w:cs="Times New Roman"/>
      <w:szCs w:val="24"/>
    </w:rPr>
  </w:style>
  <w:style w:type="character" w:customStyle="1" w:styleId="76">
    <w:name w:val="标题 Char1"/>
    <w:basedOn w:val="29"/>
    <w:qFormat/>
    <w:uiPriority w:val="10"/>
    <w:rPr>
      <w:rFonts w:eastAsia="宋体" w:asciiTheme="majorHAnsi" w:hAnsiTheme="majorHAnsi" w:cstheme="majorBidi"/>
      <w:b/>
      <w:bCs/>
      <w:sz w:val="32"/>
      <w:szCs w:val="32"/>
    </w:rPr>
  </w:style>
  <w:style w:type="character" w:customStyle="1" w:styleId="77">
    <w:name w:val="批注主题 字符"/>
    <w:basedOn w:val="63"/>
    <w:link w:val="26"/>
    <w:qFormat/>
    <w:uiPriority w:val="0"/>
    <w:rPr>
      <w:b/>
      <w:bCs/>
      <w:szCs w:val="24"/>
    </w:rPr>
  </w:style>
  <w:style w:type="paragraph" w:customStyle="1" w:styleId="78">
    <w:name w:val="人才培养方案名称"/>
    <w:basedOn w:val="25"/>
    <w:link w:val="79"/>
    <w:qFormat/>
    <w:uiPriority w:val="0"/>
    <w:pPr>
      <w:spacing w:line="360" w:lineRule="auto"/>
    </w:pPr>
  </w:style>
  <w:style w:type="character" w:customStyle="1" w:styleId="79">
    <w:name w:val="人才培养方案名称 Char"/>
    <w:basedOn w:val="58"/>
    <w:link w:val="78"/>
    <w:qFormat/>
    <w:uiPriority w:val="0"/>
    <w:rPr>
      <w:rFonts w:ascii="Cambria" w:hAnsi="Cambria" w:eastAsia="宋体"/>
      <w:sz w:val="32"/>
      <w:szCs w:val="32"/>
    </w:rPr>
  </w:style>
  <w:style w:type="paragraph" w:customStyle="1" w:styleId="80">
    <w:name w:val="一级标题"/>
    <w:basedOn w:val="1"/>
    <w:link w:val="83"/>
    <w:qFormat/>
    <w:uiPriority w:val="0"/>
    <w:pPr>
      <w:snapToGrid w:val="0"/>
      <w:spacing w:line="360" w:lineRule="auto"/>
      <w:jc w:val="left"/>
      <w:outlineLvl w:val="0"/>
    </w:pPr>
    <w:rPr>
      <w:rFonts w:ascii="宋体" w:hAnsi="宋体" w:eastAsia="宋体"/>
      <w:b/>
      <w:sz w:val="24"/>
    </w:rPr>
  </w:style>
  <w:style w:type="character" w:customStyle="1" w:styleId="81">
    <w:name w:val="章节标题 Char"/>
    <w:basedOn w:val="29"/>
    <w:link w:val="35"/>
    <w:qFormat/>
    <w:uiPriority w:val="0"/>
    <w:rPr>
      <w:rFonts w:ascii="宋体" w:hAnsi="宋体" w:eastAsia="宋体" w:cs="宋体"/>
      <w:b/>
      <w:color w:val="000000"/>
      <w:sz w:val="28"/>
      <w:szCs w:val="28"/>
    </w:rPr>
  </w:style>
  <w:style w:type="paragraph" w:customStyle="1" w:styleId="82">
    <w:name w:val="二级标题"/>
    <w:basedOn w:val="1"/>
    <w:link w:val="85"/>
    <w:qFormat/>
    <w:uiPriority w:val="0"/>
    <w:pPr>
      <w:snapToGrid w:val="0"/>
      <w:spacing w:line="360" w:lineRule="auto"/>
      <w:outlineLvl w:val="1"/>
    </w:pPr>
    <w:rPr>
      <w:rFonts w:ascii="宋体" w:hAnsi="宋体" w:eastAsia="宋体"/>
      <w:b/>
      <w:szCs w:val="21"/>
    </w:rPr>
  </w:style>
  <w:style w:type="character" w:customStyle="1" w:styleId="83">
    <w:name w:val="一级标题 Char"/>
    <w:basedOn w:val="29"/>
    <w:link w:val="80"/>
    <w:qFormat/>
    <w:uiPriority w:val="0"/>
    <w:rPr>
      <w:rFonts w:ascii="宋体" w:hAnsi="宋体" w:eastAsia="宋体"/>
      <w:b/>
      <w:sz w:val="24"/>
    </w:rPr>
  </w:style>
  <w:style w:type="paragraph" w:customStyle="1" w:styleId="84">
    <w:name w:val="一级表格标题"/>
    <w:basedOn w:val="80"/>
    <w:link w:val="88"/>
    <w:qFormat/>
    <w:uiPriority w:val="0"/>
    <w:pPr>
      <w:jc w:val="center"/>
      <w:outlineLvl w:val="9"/>
    </w:pPr>
  </w:style>
  <w:style w:type="character" w:customStyle="1" w:styleId="85">
    <w:name w:val="二级标题 Char"/>
    <w:basedOn w:val="29"/>
    <w:link w:val="82"/>
    <w:qFormat/>
    <w:uiPriority w:val="0"/>
    <w:rPr>
      <w:rFonts w:ascii="宋体" w:hAnsi="宋体" w:eastAsia="宋体"/>
      <w:b/>
      <w:szCs w:val="21"/>
    </w:rPr>
  </w:style>
  <w:style w:type="character" w:customStyle="1" w:styleId="86">
    <w:name w:val="无间隔 字符1"/>
    <w:link w:val="87"/>
    <w:qFormat/>
    <w:uiPriority w:val="0"/>
    <w:rPr>
      <w:rFonts w:ascii="Calibri" w:hAnsi="Calibri"/>
      <w:sz w:val="22"/>
    </w:rPr>
  </w:style>
  <w:style w:type="paragraph" w:styleId="87">
    <w:name w:val="No Spacing"/>
    <w:link w:val="86"/>
    <w:qFormat/>
    <w:uiPriority w:val="0"/>
    <w:rPr>
      <w:rFonts w:ascii="Calibri" w:hAnsi="Calibri" w:eastAsiaTheme="minorEastAsia" w:cstheme="minorBidi"/>
      <w:kern w:val="2"/>
      <w:sz w:val="22"/>
      <w:szCs w:val="22"/>
      <w:lang w:val="en-US" w:eastAsia="zh-CN" w:bidi="ar-SA"/>
    </w:rPr>
  </w:style>
  <w:style w:type="character" w:customStyle="1" w:styleId="88">
    <w:name w:val="一级表格标题 Char"/>
    <w:basedOn w:val="83"/>
    <w:link w:val="84"/>
    <w:qFormat/>
    <w:uiPriority w:val="0"/>
    <w:rPr>
      <w:rFonts w:ascii="宋体" w:hAnsi="宋体" w:eastAsia="宋体"/>
      <w:sz w:val="24"/>
    </w:rPr>
  </w:style>
  <w:style w:type="paragraph" w:styleId="89">
    <w:name w:val="List Paragraph"/>
    <w:basedOn w:val="1"/>
    <w:qFormat/>
    <w:uiPriority w:val="34"/>
    <w:pPr>
      <w:ind w:firstLine="420" w:firstLineChars="200"/>
    </w:pPr>
    <w:rPr>
      <w:rFonts w:ascii="Times New Roman" w:hAnsi="Times New Roman" w:eastAsia="宋体" w:cs="Times New Roman"/>
      <w:szCs w:val="24"/>
    </w:rPr>
  </w:style>
  <w:style w:type="paragraph" w:customStyle="1" w:styleId="90">
    <w:name w:val="二级表格标题"/>
    <w:basedOn w:val="82"/>
    <w:link w:val="91"/>
    <w:qFormat/>
    <w:uiPriority w:val="0"/>
    <w:pPr>
      <w:jc w:val="center"/>
    </w:pPr>
  </w:style>
  <w:style w:type="character" w:customStyle="1" w:styleId="91">
    <w:name w:val="二级表格标题 Char"/>
    <w:basedOn w:val="85"/>
    <w:link w:val="90"/>
    <w:qFormat/>
    <w:uiPriority w:val="0"/>
    <w:rPr>
      <w:rFonts w:ascii="宋体" w:hAnsi="宋体" w:eastAsia="宋体"/>
      <w:szCs w:val="21"/>
    </w:rPr>
  </w:style>
  <w:style w:type="paragraph" w:customStyle="1" w:styleId="92">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目录123"/>
    <w:basedOn w:val="2"/>
    <w:qFormat/>
    <w:uiPriority w:val="0"/>
    <w:pPr>
      <w:spacing w:line="360" w:lineRule="auto"/>
      <w:jc w:val="center"/>
    </w:pPr>
    <w:rPr>
      <w:rFonts w:ascii="宋体" w:hAnsi="宋体" w:eastAsia="黑体"/>
    </w:rPr>
  </w:style>
  <w:style w:type="paragraph" w:customStyle="1" w:styleId="94">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5">
    <w:name w:val="标题 #11"/>
    <w:basedOn w:val="96"/>
    <w:unhideWhenUsed/>
    <w:qFormat/>
    <w:uiPriority w:val="99"/>
    <w:rPr>
      <w:rFonts w:ascii="宋体" w:hAnsi="宋体" w:eastAsia="宋体"/>
      <w:spacing w:val="-10"/>
      <w:sz w:val="30"/>
      <w:shd w:val="clear" w:color="auto" w:fill="FFFFFF"/>
    </w:rPr>
  </w:style>
  <w:style w:type="character" w:customStyle="1" w:styleId="96">
    <w:name w:val="标题 #1_"/>
    <w:basedOn w:val="29"/>
    <w:link w:val="97"/>
    <w:unhideWhenUsed/>
    <w:qFormat/>
    <w:uiPriority w:val="99"/>
    <w:rPr>
      <w:rFonts w:ascii="宋体" w:hAnsi="宋体" w:eastAsia="宋体"/>
      <w:spacing w:val="-10"/>
      <w:sz w:val="30"/>
      <w:shd w:val="clear" w:color="auto" w:fill="FFFFFF"/>
    </w:rPr>
  </w:style>
  <w:style w:type="paragraph" w:customStyle="1" w:styleId="97">
    <w:name w:val="标题 #1"/>
    <w:basedOn w:val="1"/>
    <w:link w:val="96"/>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8">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9">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样式 目录1 + 居中 首行缩进:  0 字符"/>
    <w:basedOn w:val="102"/>
    <w:qFormat/>
    <w:uiPriority w:val="0"/>
    <w:pPr>
      <w:numPr>
        <w:numId w:val="0"/>
      </w:numPr>
      <w:jc w:val="center"/>
    </w:pPr>
    <w:rPr>
      <w:rFonts w:ascii="Calibri" w:hAnsi="Calibri" w:cs="宋体"/>
      <w:bCs/>
      <w:sz w:val="28"/>
      <w:szCs w:val="20"/>
    </w:rPr>
  </w:style>
  <w:style w:type="paragraph" w:customStyle="1" w:styleId="102">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3">
    <w:name w:val="副标题 字符"/>
    <w:basedOn w:val="29"/>
    <w:link w:val="19"/>
    <w:qFormat/>
    <w:uiPriority w:val="11"/>
    <w:rPr>
      <w:rFonts w:eastAsia="宋体" w:asciiTheme="majorHAnsi" w:hAnsiTheme="majorHAnsi" w:cstheme="majorBidi"/>
      <w:b/>
      <w:bCs/>
      <w:kern w:val="28"/>
      <w:sz w:val="32"/>
      <w:szCs w:val="32"/>
    </w:rPr>
  </w:style>
  <w:style w:type="character" w:customStyle="1" w:styleId="104">
    <w:name w:val="Char Char61"/>
    <w:qFormat/>
    <w:uiPriority w:val="0"/>
    <w:rPr>
      <w:rFonts w:ascii="Cambria" w:hAnsi="Cambria" w:eastAsia="宋体"/>
      <w:b/>
      <w:bCs/>
      <w:kern w:val="2"/>
      <w:sz w:val="32"/>
      <w:szCs w:val="32"/>
      <w:lang w:bidi="ar-SA"/>
    </w:rPr>
  </w:style>
  <w:style w:type="paragraph" w:customStyle="1" w:styleId="105">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6">
    <w:name w:val="列出段落2"/>
    <w:basedOn w:val="1"/>
    <w:qFormat/>
    <w:uiPriority w:val="34"/>
    <w:pPr>
      <w:ind w:firstLine="420" w:firstLineChars="200"/>
    </w:pPr>
    <w:rPr>
      <w:rFonts w:ascii="Times New Roman" w:hAnsi="Times New Roman" w:eastAsia="宋体" w:cs="Times New Roman"/>
      <w:szCs w:val="24"/>
    </w:rPr>
  </w:style>
  <w:style w:type="character" w:customStyle="1" w:styleId="107">
    <w:name w:val="Char Char62"/>
    <w:qFormat/>
    <w:uiPriority w:val="0"/>
    <w:rPr>
      <w:rFonts w:ascii="Cambria" w:hAnsi="Cambria" w:eastAsia="宋体"/>
      <w:b/>
      <w:bCs/>
      <w:kern w:val="2"/>
      <w:sz w:val="32"/>
      <w:szCs w:val="32"/>
      <w:lang w:bidi="ar-SA"/>
    </w:rPr>
  </w:style>
  <w:style w:type="paragraph" w:customStyle="1" w:styleId="108">
    <w:name w:val="列出段落3"/>
    <w:basedOn w:val="1"/>
    <w:qFormat/>
    <w:uiPriority w:val="34"/>
    <w:pPr>
      <w:ind w:firstLine="420" w:firstLineChars="200"/>
    </w:pPr>
    <w:rPr>
      <w:rFonts w:ascii="Times New Roman" w:hAnsi="Times New Roman" w:eastAsia="宋体" w:cs="Times New Roman"/>
      <w:szCs w:val="24"/>
    </w:rPr>
  </w:style>
  <w:style w:type="paragraph" w:customStyle="1" w:styleId="109">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0">
    <w:name w:val="正文文本缩进 字符"/>
    <w:qFormat/>
    <w:uiPriority w:val="0"/>
    <w:rPr>
      <w:rFonts w:eastAsia="宋体"/>
      <w:kern w:val="2"/>
      <w:sz w:val="21"/>
      <w:szCs w:val="24"/>
      <w:lang w:bidi="ar-SA"/>
    </w:rPr>
  </w:style>
  <w:style w:type="character" w:customStyle="1" w:styleId="111">
    <w:name w:val="页眉 字符"/>
    <w:qFormat/>
    <w:uiPriority w:val="0"/>
    <w:rPr>
      <w:rFonts w:eastAsia="宋体"/>
      <w:kern w:val="2"/>
      <w:sz w:val="18"/>
      <w:szCs w:val="18"/>
      <w:lang w:bidi="ar-SA"/>
    </w:rPr>
  </w:style>
  <w:style w:type="character" w:customStyle="1" w:styleId="112">
    <w:name w:val="页脚 字符"/>
    <w:qFormat/>
    <w:uiPriority w:val="99"/>
    <w:rPr>
      <w:rFonts w:eastAsia="宋体"/>
      <w:kern w:val="2"/>
      <w:sz w:val="18"/>
      <w:szCs w:val="18"/>
      <w:lang w:bidi="ar-SA"/>
    </w:rPr>
  </w:style>
  <w:style w:type="character" w:customStyle="1" w:styleId="113">
    <w:name w:val="无间隔 字符"/>
    <w:qFormat/>
    <w:uiPriority w:val="0"/>
    <w:rPr>
      <w:rFonts w:ascii="Calibri" w:hAnsi="Calibri"/>
      <w:sz w:val="22"/>
      <w:szCs w:val="22"/>
      <w:lang w:val="en-US" w:eastAsia="zh-CN" w:bidi="ar-SA"/>
    </w:rPr>
  </w:style>
  <w:style w:type="character" w:customStyle="1" w:styleId="114">
    <w:name w:val="批注框文本 字符"/>
    <w:qFormat/>
    <w:uiPriority w:val="0"/>
    <w:rPr>
      <w:rFonts w:eastAsia="宋体"/>
      <w:kern w:val="2"/>
      <w:sz w:val="18"/>
      <w:szCs w:val="18"/>
      <w:lang w:val="en-US" w:eastAsia="zh-CN" w:bidi="ar-SA"/>
    </w:rPr>
  </w:style>
  <w:style w:type="character" w:customStyle="1" w:styleId="115">
    <w:name w:val="标题 2 字符"/>
    <w:qFormat/>
    <w:uiPriority w:val="0"/>
    <w:rPr>
      <w:rFonts w:ascii="宋体" w:hAnsi="宋体" w:eastAsia="宋体" w:cs="宋体"/>
      <w:b/>
      <w:bCs/>
      <w:sz w:val="36"/>
      <w:szCs w:val="36"/>
      <w:lang w:val="en-US" w:eastAsia="zh-CN" w:bidi="ar-SA"/>
    </w:rPr>
  </w:style>
  <w:style w:type="character" w:customStyle="1" w:styleId="116">
    <w:name w:val="标题 1 字符"/>
    <w:qFormat/>
    <w:uiPriority w:val="0"/>
    <w:rPr>
      <w:rFonts w:eastAsia="宋体"/>
      <w:b/>
      <w:bCs/>
      <w:kern w:val="44"/>
      <w:sz w:val="44"/>
      <w:szCs w:val="44"/>
      <w:lang w:bidi="ar-SA"/>
    </w:rPr>
  </w:style>
  <w:style w:type="character" w:customStyle="1" w:styleId="117">
    <w:name w:val="批注文字 字符"/>
    <w:qFormat/>
    <w:uiPriority w:val="0"/>
    <w:rPr>
      <w:kern w:val="2"/>
      <w:sz w:val="21"/>
      <w:szCs w:val="24"/>
    </w:rPr>
  </w:style>
  <w:style w:type="character" w:customStyle="1" w:styleId="118">
    <w:name w:val="标题 字符"/>
    <w:qFormat/>
    <w:uiPriority w:val="0"/>
    <w:rPr>
      <w:rFonts w:ascii="Cambria" w:hAnsi="Cambria" w:eastAsia="宋体"/>
      <w:b/>
      <w:bCs/>
      <w:kern w:val="2"/>
      <w:sz w:val="32"/>
      <w:szCs w:val="32"/>
      <w:lang w:bidi="ar-SA"/>
    </w:rPr>
  </w:style>
  <w:style w:type="character" w:customStyle="1" w:styleId="119">
    <w:name w:val="纯文本 字符"/>
    <w:qFormat/>
    <w:uiPriority w:val="0"/>
    <w:rPr>
      <w:rFonts w:ascii="宋体" w:hAnsi="Courier New" w:eastAsia="宋体"/>
      <w:kern w:val="2"/>
      <w:sz w:val="21"/>
      <w:szCs w:val="21"/>
      <w:lang w:bidi="ar-SA"/>
    </w:rPr>
  </w:style>
  <w:style w:type="paragraph" w:customStyle="1" w:styleId="120">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1">
    <w:name w:val="样式1 字符"/>
    <w:basedOn w:val="81"/>
    <w:link w:val="34"/>
    <w:qFormat/>
    <w:uiPriority w:val="0"/>
    <w:rPr>
      <w:rFonts w:ascii="宋体" w:hAnsi="宋体" w:eastAsia="宋体" w:cs="宋体"/>
      <w:b w:val="0"/>
      <w:color w:val="000000"/>
      <w:sz w:val="28"/>
      <w:szCs w:val="28"/>
    </w:rPr>
  </w:style>
  <w:style w:type="character" w:customStyle="1" w:styleId="122">
    <w:name w:val="无间隔 Char1"/>
    <w:qFormat/>
    <w:uiPriority w:val="0"/>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8722A-06A1-4A04-BDA5-0AE86F7D57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15673</Words>
  <Characters>16990</Characters>
  <Lines>245</Lines>
  <Paragraphs>69</Paragraphs>
  <TotalTime>436</TotalTime>
  <ScaleCrop>false</ScaleCrop>
  <LinksUpToDate>false</LinksUpToDate>
  <CharactersWithSpaces>17284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2022-03-21T07:22:00Z</dcterms:created>
  <dc:creator>pc</dc:creator>
  <cp:lastModifiedBy>Administrator</cp:lastModifiedBy>
  <cp:lastPrinted>2022-04-27T08:54:00Z</cp:lastPrinted>
  <dcterms:modified xsi:type="dcterms:W3CDTF">2022-11-09T07:48:00Z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7990429EAAE64C1EA817FA1CD1DE3781</vt:lpwstr>
  </property>
</Properties>
</file>