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color w:val="000000" w:themeColor="text1"/>
          <w:kern w:val="0"/>
          <w:sz w:val="36"/>
          <w:szCs w:val="36"/>
        </w:rPr>
      </w:pPr>
    </w:p>
    <w:p>
      <w:pPr>
        <w:widowControl/>
        <w:jc w:val="center"/>
        <w:rPr>
          <w:rFonts w:ascii="宋体" w:hAnsi="宋体" w:cs="宋体"/>
          <w:color w:val="000000" w:themeColor="text1"/>
          <w:kern w:val="0"/>
          <w:sz w:val="36"/>
          <w:szCs w:val="36"/>
        </w:rPr>
      </w:pPr>
    </w:p>
    <w:p>
      <w:pPr>
        <w:widowControl/>
        <w:jc w:val="center"/>
        <w:rPr>
          <w:rFonts w:ascii="方正小标宋简体" w:hAnsi="方正小标宋简体" w:eastAsia="方正小标宋简体" w:cs="方正小标宋简体"/>
          <w:color w:val="000000" w:themeColor="text1"/>
          <w:kern w:val="0"/>
          <w:sz w:val="52"/>
          <w:szCs w:val="52"/>
        </w:rPr>
      </w:pPr>
      <w:r>
        <w:rPr>
          <w:rFonts w:hint="eastAsia" w:ascii="方正小标宋简体" w:hAnsi="方正小标宋简体" w:eastAsia="方正小标宋简体" w:cs="方正小标宋简体"/>
          <w:color w:val="000000" w:themeColor="text1"/>
          <w:kern w:val="0"/>
          <w:sz w:val="52"/>
          <w:szCs w:val="52"/>
        </w:rPr>
        <w:t xml:space="preserve">   </w:t>
      </w:r>
    </w:p>
    <w:p>
      <w:pPr>
        <w:widowControl/>
        <w:jc w:val="center"/>
        <w:rPr>
          <w:rFonts w:ascii="方正小标宋简体" w:hAnsi="方正小标宋简体" w:eastAsia="方正小标宋简体" w:cs="方正小标宋简体"/>
          <w:color w:val="000000" w:themeColor="text1"/>
          <w:kern w:val="0"/>
          <w:sz w:val="44"/>
          <w:szCs w:val="44"/>
        </w:rPr>
      </w:pPr>
      <w:r>
        <w:rPr>
          <w:rFonts w:hint="eastAsia" w:ascii="方正小标宋简体" w:hAnsi="方正小标宋简体" w:eastAsia="方正小标宋简体" w:cs="方正小标宋简体"/>
          <w:color w:val="000000" w:themeColor="text1"/>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方正小标宋简体" w:hAnsi="方正小标宋简体" w:eastAsia="方正小标宋简体" w:cs="方正小标宋简体"/>
          <w:color w:val="000000" w:themeColor="text1"/>
          <w:kern w:val="0"/>
          <w:sz w:val="44"/>
          <w:szCs w:val="44"/>
        </w:rPr>
        <w:t>鄂尔多斯生态环境职业学院</w:t>
      </w:r>
    </w:p>
    <w:p>
      <w:pPr>
        <w:widowControl/>
        <w:jc w:val="center"/>
        <w:rPr>
          <w:rFonts w:ascii="方正小标宋简体" w:hAnsi="方正小标宋简体" w:eastAsia="方正小标宋简体" w:cs="方正小标宋简体"/>
          <w:color w:val="000000" w:themeColor="text1"/>
          <w:kern w:val="0"/>
          <w:sz w:val="44"/>
          <w:szCs w:val="44"/>
        </w:rPr>
      </w:pPr>
      <w:r>
        <w:rPr>
          <w:rFonts w:hint="eastAsia" w:ascii="方正小标宋简体" w:hAnsi="方正小标宋简体" w:eastAsia="方正小标宋简体" w:cs="方正小标宋简体"/>
          <w:color w:val="000000" w:themeColor="text1"/>
          <w:kern w:val="0"/>
          <w:sz w:val="44"/>
          <w:szCs w:val="44"/>
        </w:rPr>
        <w:t>三年制高职人才培养方案</w:t>
      </w:r>
    </w:p>
    <w:p>
      <w:pPr>
        <w:widowControl/>
        <w:rPr>
          <w:rFonts w:ascii="方正小标宋简体" w:hAnsi="方正小标宋简体" w:eastAsia="方正小标宋简体" w:cs="方正小标宋简体"/>
          <w:color w:val="000000" w:themeColor="text1"/>
          <w:kern w:val="0"/>
          <w:sz w:val="44"/>
          <w:szCs w:val="44"/>
        </w:rPr>
      </w:pPr>
    </w:p>
    <w:p>
      <w:pPr>
        <w:widowControl/>
        <w:rPr>
          <w:rFonts w:ascii="方正小标宋简体" w:hAnsi="方正小标宋简体" w:eastAsia="方正小标宋简体" w:cs="方正小标宋简体"/>
          <w:color w:val="000000" w:themeColor="text1"/>
          <w:kern w:val="0"/>
          <w:sz w:val="44"/>
          <w:szCs w:val="44"/>
        </w:rPr>
      </w:pPr>
    </w:p>
    <w:tbl>
      <w:tblPr>
        <w:tblStyle w:val="28"/>
        <w:tblW w:w="0" w:type="auto"/>
        <w:tblInd w:w="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5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专业</w:t>
            </w:r>
          </w:p>
        </w:tc>
        <w:tc>
          <w:tcPr>
            <w:tcW w:w="5457" w:type="dxa"/>
          </w:tcPr>
          <w:p>
            <w:pPr>
              <w:widowControl/>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园艺技术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制订人</w:t>
            </w:r>
          </w:p>
        </w:tc>
        <w:tc>
          <w:tcPr>
            <w:tcW w:w="5457" w:type="dxa"/>
          </w:tcPr>
          <w:p>
            <w:pPr>
              <w:widowControl/>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审核人</w:t>
            </w:r>
          </w:p>
        </w:tc>
        <w:tc>
          <w:tcPr>
            <w:tcW w:w="5457" w:type="dxa"/>
          </w:tcPr>
          <w:p>
            <w:pPr>
              <w:widowControl/>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专业建设委员会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tcPr>
          <w:p>
            <w:pPr>
              <w:widowControl/>
              <w:jc w:val="center"/>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制定日期</w:t>
            </w:r>
          </w:p>
        </w:tc>
        <w:tc>
          <w:tcPr>
            <w:tcW w:w="5457" w:type="dxa"/>
          </w:tcPr>
          <w:p>
            <w:pPr>
              <w:widowControl/>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2022.11.2</w:t>
            </w:r>
          </w:p>
        </w:tc>
      </w:tr>
    </w:tbl>
    <w:p>
      <w:pPr>
        <w:widowControl/>
        <w:jc w:val="left"/>
        <w:rPr>
          <w:rFonts w:ascii="仿宋_GB2312" w:hAnsi="仿宋_GB2312" w:eastAsia="仿宋_GB2312" w:cs="仿宋_GB2312"/>
          <w:color w:val="000000" w:themeColor="text1"/>
          <w:kern w:val="0"/>
          <w:sz w:val="32"/>
          <w:szCs w:val="32"/>
        </w:rPr>
      </w:pPr>
    </w:p>
    <w:p>
      <w:pPr>
        <w:widowControl/>
        <w:rPr>
          <w:rFonts w:ascii="方正小标宋简体" w:hAnsi="方正小标宋简体" w:eastAsia="方正小标宋简体" w:cs="方正小标宋简体"/>
          <w:color w:val="000000" w:themeColor="text1"/>
          <w:kern w:val="0"/>
          <w:sz w:val="44"/>
          <w:szCs w:val="44"/>
        </w:rPr>
      </w:pPr>
    </w:p>
    <w:p>
      <w:pPr>
        <w:widowControl/>
        <w:rPr>
          <w:rFonts w:ascii="方正小标宋简体" w:hAnsi="方正小标宋简体" w:eastAsia="方正小标宋简体" w:cs="方正小标宋简体"/>
          <w:color w:val="000000" w:themeColor="text1"/>
          <w:kern w:val="0"/>
          <w:sz w:val="44"/>
          <w:szCs w:val="44"/>
        </w:rPr>
      </w:pPr>
    </w:p>
    <w:p>
      <w:pPr>
        <w:widowControl/>
        <w:jc w:val="center"/>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鄂尔多斯生态环境职业学院教务处制</w:t>
      </w:r>
    </w:p>
    <w:p>
      <w:pPr>
        <w:widowControl/>
        <w:jc w:val="center"/>
        <w:rPr>
          <w:rFonts w:ascii="黑体" w:hAnsi="黑体" w:eastAsia="黑体" w:cs="黑体"/>
          <w:color w:val="000000" w:themeColor="text1"/>
          <w:kern w:val="0"/>
          <w:sz w:val="32"/>
          <w:szCs w:val="32"/>
        </w:rPr>
        <w:sectPr>
          <w:footerReference r:id="rId3" w:type="default"/>
          <w:pgSz w:w="11906" w:h="16838"/>
          <w:pgMar w:top="2098" w:right="1474" w:bottom="1984" w:left="1587" w:header="851" w:footer="992" w:gutter="0"/>
          <w:pgNumType w:start="1"/>
          <w:cols w:space="720" w:num="1"/>
          <w:docGrid w:type="lines" w:linePitch="312" w:charSpace="0"/>
        </w:sectPr>
      </w:pPr>
      <w:r>
        <w:rPr>
          <w:rFonts w:hint="eastAsia" w:ascii="黑体" w:hAnsi="黑体" w:eastAsia="黑体" w:cs="黑体"/>
          <w:color w:val="000000" w:themeColor="text1"/>
          <w:kern w:val="0"/>
          <w:sz w:val="32"/>
          <w:szCs w:val="32"/>
        </w:rPr>
        <w:t>二○二二年十月</w:t>
      </w:r>
    </w:p>
    <w:sdt>
      <w:sdtPr>
        <w:rPr>
          <w:rFonts w:hint="eastAsia" w:ascii="方正小标宋简体" w:hAnsi="方正小标宋简体" w:eastAsia="方正小标宋简体" w:cs="方正小标宋简体"/>
          <w:color w:val="000000" w:themeColor="text1"/>
          <w:sz w:val="44"/>
          <w:szCs w:val="44"/>
        </w:rPr>
        <w:id w:val="147469859"/>
        <w:docPartObj>
          <w:docPartGallery w:val="Table of Contents"/>
          <w:docPartUnique/>
        </w:docPartObj>
      </w:sdtPr>
      <w:sdtEndPr>
        <w:rPr>
          <w:rFonts w:hint="eastAsia" w:ascii="Segoe UI Variable Text" w:hAnsi="Segoe UI Variable Text" w:eastAsia="Segoe UI Variable Text" w:cs="Segoe UI Variable Text"/>
          <w:color w:val="000000" w:themeColor="text1"/>
          <w:sz w:val="21"/>
          <w:szCs w:val="22"/>
        </w:rPr>
      </w:sdtEndPr>
      <w:sdtContent>
        <w:p>
          <w:pPr>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目录</w:t>
          </w:r>
        </w:p>
        <w:p>
          <w:pPr>
            <w:pStyle w:val="17"/>
            <w:tabs>
              <w:tab w:val="right" w:leader="dot" w:pos="8845"/>
            </w:tabs>
          </w:pPr>
          <w:r>
            <w:rPr>
              <w:color w:val="000000" w:themeColor="text1"/>
            </w:rPr>
            <w:fldChar w:fldCharType="begin"/>
          </w:r>
          <w:r>
            <w:rPr>
              <w:color w:val="000000" w:themeColor="text1"/>
            </w:rPr>
            <w:instrText xml:space="preserve">TOC \o "1-3" \h \u </w:instrText>
          </w:r>
          <w:r>
            <w:rPr>
              <w:color w:val="000000" w:themeColor="text1"/>
            </w:rPr>
            <w:fldChar w:fldCharType="separate"/>
          </w:r>
          <w:r>
            <w:fldChar w:fldCharType="begin"/>
          </w:r>
          <w:r>
            <w:instrText xml:space="preserve"> HYPERLINK \l "_Toc30087" </w:instrText>
          </w:r>
          <w:r>
            <w:fldChar w:fldCharType="separate"/>
          </w:r>
          <w:r>
            <w:rPr>
              <w:rFonts w:hint="eastAsia" w:ascii="黑体" w:hAnsi="黑体" w:eastAsia="黑体" w:cs="黑体"/>
              <w:bCs/>
              <w:szCs w:val="28"/>
            </w:rPr>
            <w:t>一、专业名称（专业代码）</w:t>
          </w:r>
          <w:r>
            <w:tab/>
          </w:r>
          <w:r>
            <w:fldChar w:fldCharType="begin"/>
          </w:r>
          <w:r>
            <w:instrText xml:space="preserve"> PAGEREF _Toc30087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"_Toc10415" </w:instrText>
          </w:r>
          <w:r>
            <w:fldChar w:fldCharType="separate"/>
          </w:r>
          <w:r>
            <w:rPr>
              <w:rFonts w:hint="eastAsia" w:ascii="黑体" w:hAnsi="黑体" w:eastAsia="黑体" w:cs="黑体"/>
              <w:bCs/>
              <w:szCs w:val="28"/>
            </w:rPr>
            <w:t>二、入学要求</w:t>
          </w:r>
          <w:r>
            <w:tab/>
          </w:r>
          <w:r>
            <w:fldChar w:fldCharType="begin"/>
          </w:r>
          <w:r>
            <w:instrText xml:space="preserve"> PAGEREF _Toc10415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"_Toc20397" </w:instrText>
          </w:r>
          <w:r>
            <w:fldChar w:fldCharType="separate"/>
          </w:r>
          <w:r>
            <w:rPr>
              <w:rFonts w:hint="eastAsia" w:ascii="黑体" w:hAnsi="黑体" w:eastAsia="黑体" w:cs="黑体"/>
              <w:bCs/>
              <w:szCs w:val="28"/>
            </w:rPr>
            <w:t>三、修业年限及学历</w:t>
          </w:r>
          <w:r>
            <w:tab/>
          </w:r>
          <w:r>
            <w:fldChar w:fldCharType="begin"/>
          </w:r>
          <w:r>
            <w:instrText xml:space="preserve"> PAGEREF _Toc20397 \h </w:instrText>
          </w:r>
          <w:r>
            <w:fldChar w:fldCharType="separate"/>
          </w:r>
          <w:r>
            <w:t>3</w:t>
          </w:r>
          <w:r>
            <w:fldChar w:fldCharType="end"/>
          </w:r>
          <w:r>
            <w:fldChar w:fldCharType="end"/>
          </w:r>
        </w:p>
        <w:p>
          <w:pPr>
            <w:pStyle w:val="17"/>
            <w:tabs>
              <w:tab w:val="right" w:leader="dot" w:pos="8845"/>
            </w:tabs>
          </w:pPr>
          <w:r>
            <w:fldChar w:fldCharType="begin"/>
          </w:r>
          <w:r>
            <w:instrText xml:space="preserve"> HYPERLINK \l "_Toc27009" </w:instrText>
          </w:r>
          <w:r>
            <w:fldChar w:fldCharType="separate"/>
          </w:r>
          <w:r>
            <w:rPr>
              <w:rFonts w:hint="eastAsia" w:ascii="黑体" w:hAnsi="黑体" w:eastAsia="黑体" w:cs="黑体"/>
              <w:bCs/>
              <w:szCs w:val="28"/>
            </w:rPr>
            <w:t>四、职业面向</w:t>
          </w:r>
          <w:r>
            <w:tab/>
          </w:r>
          <w:r>
            <w:fldChar w:fldCharType="begin"/>
          </w:r>
          <w:r>
            <w:instrText xml:space="preserve"> PAGEREF _Toc27009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"_Toc16142" </w:instrText>
          </w:r>
          <w:r>
            <w:fldChar w:fldCharType="separate"/>
          </w:r>
          <w:r>
            <w:rPr>
              <w:rFonts w:hint="eastAsia" w:ascii="楷体_GB2312" w:hAnsi="楷体_GB2312" w:eastAsia="楷体_GB2312" w:cs="楷体_GB2312"/>
              <w:szCs w:val="28"/>
            </w:rPr>
            <w:t>（一）本专业职业面向（参照专业教学标准填写）</w:t>
          </w:r>
          <w:r>
            <w:tab/>
          </w:r>
          <w:r>
            <w:fldChar w:fldCharType="begin"/>
          </w:r>
          <w:r>
            <w:instrText xml:space="preserve"> PAGEREF _Toc16142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"_Toc9981" </w:instrText>
          </w:r>
          <w:r>
            <w:fldChar w:fldCharType="separate"/>
          </w:r>
          <w:r>
            <w:rPr>
              <w:rFonts w:hint="eastAsia" w:ascii="楷体_GB2312" w:hAnsi="楷体_GB2312" w:eastAsia="楷体_GB2312" w:cs="楷体_GB2312"/>
              <w:szCs w:val="28"/>
            </w:rPr>
            <w:t>（二）职业等级证书、行业企业标准和证书</w:t>
          </w:r>
          <w:r>
            <w:tab/>
          </w:r>
          <w:r>
            <w:fldChar w:fldCharType="begin"/>
          </w:r>
          <w:r>
            <w:instrText xml:space="preserve"> PAGEREF _Toc9981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"_Toc93" </w:instrText>
          </w:r>
          <w:r>
            <w:fldChar w:fldCharType="separate"/>
          </w:r>
          <w:r>
            <w:rPr>
              <w:rFonts w:hint="eastAsia" w:ascii="仿宋_GB2312" w:hAnsi="仿宋_GB2312" w:eastAsia="仿宋_GB2312" w:cs="仿宋_GB2312"/>
              <w:szCs w:val="28"/>
            </w:rPr>
            <w:t>1.通用证书</w:t>
          </w:r>
          <w:r>
            <w:tab/>
          </w:r>
          <w:r>
            <w:fldChar w:fldCharType="begin"/>
          </w:r>
          <w:r>
            <w:instrText xml:space="preserve"> PAGEREF _Toc93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"_Toc8164" </w:instrText>
          </w:r>
          <w:r>
            <w:fldChar w:fldCharType="separate"/>
          </w:r>
          <w:r>
            <w:rPr>
              <w:rFonts w:hint="eastAsia" w:ascii="仿宋_GB2312" w:hAnsi="仿宋_GB2312" w:eastAsia="仿宋_GB2312" w:cs="仿宋_GB2312"/>
              <w:szCs w:val="28"/>
            </w:rPr>
            <w:t>2.本专业职业资格证书</w:t>
          </w:r>
          <w:r>
            <w:tab/>
          </w:r>
          <w:r>
            <w:fldChar w:fldCharType="begin"/>
          </w:r>
          <w:r>
            <w:instrText xml:space="preserve"> PAGEREF _Toc8164 \h </w:instrText>
          </w:r>
          <w:r>
            <w:fldChar w:fldCharType="separate"/>
          </w:r>
          <w:r>
            <w:t>3</w:t>
          </w:r>
          <w:r>
            <w:fldChar w:fldCharType="end"/>
          </w:r>
          <w:r>
            <w:fldChar w:fldCharType="end"/>
          </w:r>
        </w:p>
        <w:p>
          <w:pPr>
            <w:pStyle w:val="21"/>
            <w:tabs>
              <w:tab w:val="right" w:leader="dot" w:pos="8845"/>
            </w:tabs>
          </w:pPr>
          <w:r>
            <w:fldChar w:fldCharType="begin"/>
          </w:r>
          <w:r>
            <w:instrText xml:space="preserve"> HYPERLINK \l "_Toc24781" </w:instrText>
          </w:r>
          <w:r>
            <w:fldChar w:fldCharType="separate"/>
          </w:r>
          <w:r>
            <w:rPr>
              <w:rFonts w:hint="eastAsia" w:ascii="楷体_GB2312" w:hAnsi="楷体_GB2312" w:eastAsia="楷体_GB2312" w:cs="楷体_GB2312"/>
              <w:szCs w:val="28"/>
            </w:rPr>
            <w:t>（三）职业生涯发展路径</w:t>
          </w:r>
          <w:r>
            <w:tab/>
          </w:r>
          <w:r>
            <w:fldChar w:fldCharType="begin"/>
          </w:r>
          <w:r>
            <w:instrText xml:space="preserve"> PAGEREF _Toc24781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"_Toc7860" </w:instrText>
          </w:r>
          <w:r>
            <w:fldChar w:fldCharType="separate"/>
          </w:r>
          <w:r>
            <w:rPr>
              <w:rFonts w:hint="eastAsia" w:ascii="黑体" w:hAnsi="黑体" w:eastAsia="黑体" w:cs="黑体"/>
              <w:bCs/>
              <w:szCs w:val="28"/>
            </w:rPr>
            <w:t>五、培养目标与规格</w:t>
          </w:r>
          <w:r>
            <w:tab/>
          </w:r>
          <w:r>
            <w:fldChar w:fldCharType="begin"/>
          </w:r>
          <w:r>
            <w:instrText xml:space="preserve"> PAGEREF _Toc7860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"_Toc31453" </w:instrText>
          </w:r>
          <w:r>
            <w:fldChar w:fldCharType="separate"/>
          </w:r>
          <w:r>
            <w:rPr>
              <w:rFonts w:hint="eastAsia" w:ascii="楷体_GB2312" w:hAnsi="楷体_GB2312" w:eastAsia="楷体_GB2312" w:cs="楷体_GB2312"/>
              <w:bCs/>
              <w:szCs w:val="28"/>
            </w:rPr>
            <w:t>（一）培养目标</w:t>
          </w:r>
          <w:r>
            <w:tab/>
          </w:r>
          <w:r>
            <w:fldChar w:fldCharType="begin"/>
          </w:r>
          <w:r>
            <w:instrText xml:space="preserve"> PAGEREF _Toc31453 \h </w:instrText>
          </w:r>
          <w:r>
            <w:fldChar w:fldCharType="separate"/>
          </w:r>
          <w:r>
            <w:t>4</w:t>
          </w:r>
          <w:r>
            <w:fldChar w:fldCharType="end"/>
          </w:r>
          <w:r>
            <w:fldChar w:fldCharType="end"/>
          </w:r>
        </w:p>
        <w:p>
          <w:pPr>
            <w:pStyle w:val="17"/>
            <w:tabs>
              <w:tab w:val="right" w:leader="dot" w:pos="8845"/>
            </w:tabs>
          </w:pPr>
          <w:r>
            <w:fldChar w:fldCharType="begin"/>
          </w:r>
          <w:r>
            <w:instrText xml:space="preserve"> HYPERLINK \l "_Toc20435" </w:instrText>
          </w:r>
          <w:r>
            <w:fldChar w:fldCharType="separate"/>
          </w:r>
          <w:r>
            <w:rPr>
              <w:rFonts w:hint="eastAsia" w:ascii="楷体" w:hAnsi="楷体" w:eastAsia="楷体" w:cs="楷体"/>
              <w:bCs/>
              <w:szCs w:val="28"/>
            </w:rPr>
            <w:t>（二）培养规格</w:t>
          </w:r>
          <w:r>
            <w:tab/>
          </w:r>
          <w:r>
            <w:fldChar w:fldCharType="begin"/>
          </w:r>
          <w:r>
            <w:instrText xml:space="preserve"> PAGEREF _Toc20435 \h </w:instrText>
          </w:r>
          <w:r>
            <w:fldChar w:fldCharType="separate"/>
          </w:r>
          <w:r>
            <w:t>4</w:t>
          </w:r>
          <w:r>
            <w:fldChar w:fldCharType="end"/>
          </w:r>
          <w:r>
            <w:fldChar w:fldCharType="end"/>
          </w:r>
        </w:p>
        <w:p>
          <w:pPr>
            <w:pStyle w:val="21"/>
            <w:tabs>
              <w:tab w:val="right" w:leader="dot" w:pos="8845"/>
            </w:tabs>
          </w:pPr>
          <w:r>
            <w:fldChar w:fldCharType="begin"/>
          </w:r>
          <w:r>
            <w:instrText xml:space="preserve"> HYPERLINK \l "_Toc9617" </w:instrText>
          </w:r>
          <w:r>
            <w:fldChar w:fldCharType="separate"/>
          </w:r>
          <w:r>
            <w:rPr>
              <w:rFonts w:hint="eastAsia" w:ascii="楷体" w:hAnsi="楷体" w:eastAsia="楷体" w:cs="楷体"/>
              <w:bCs/>
              <w:szCs w:val="28"/>
            </w:rPr>
            <w:t>（三）创新创业能力的培养</w:t>
          </w:r>
          <w:r>
            <w:tab/>
          </w:r>
          <w:r>
            <w:fldChar w:fldCharType="begin"/>
          </w:r>
          <w:r>
            <w:instrText xml:space="preserve"> PAGEREF _Toc9617 \h </w:instrText>
          </w:r>
          <w:r>
            <w:fldChar w:fldCharType="separate"/>
          </w:r>
          <w:r>
            <w:t>6</w:t>
          </w:r>
          <w:r>
            <w:fldChar w:fldCharType="end"/>
          </w:r>
          <w:r>
            <w:fldChar w:fldCharType="end"/>
          </w:r>
        </w:p>
        <w:p>
          <w:pPr>
            <w:pStyle w:val="17"/>
            <w:tabs>
              <w:tab w:val="right" w:leader="dot" w:pos="8845"/>
            </w:tabs>
          </w:pPr>
          <w:r>
            <w:fldChar w:fldCharType="begin"/>
          </w:r>
          <w:r>
            <w:instrText xml:space="preserve"> HYPERLINK \l "_Toc13220" </w:instrText>
          </w:r>
          <w:r>
            <w:fldChar w:fldCharType="separate"/>
          </w:r>
          <w:r>
            <w:rPr>
              <w:rFonts w:hint="eastAsia" w:ascii="黑体" w:hAnsi="黑体" w:eastAsia="黑体" w:cs="黑体"/>
              <w:szCs w:val="28"/>
            </w:rPr>
            <w:t>六、课程设置及要求</w:t>
          </w:r>
          <w:r>
            <w:tab/>
          </w:r>
          <w:r>
            <w:fldChar w:fldCharType="begin"/>
          </w:r>
          <w:r>
            <w:instrText xml:space="preserve"> PAGEREF _Toc13220 \h </w:instrText>
          </w:r>
          <w:r>
            <w:fldChar w:fldCharType="separate"/>
          </w:r>
          <w:r>
            <w:t>6</w:t>
          </w:r>
          <w:r>
            <w:fldChar w:fldCharType="end"/>
          </w:r>
          <w:r>
            <w:fldChar w:fldCharType="end"/>
          </w:r>
        </w:p>
        <w:p>
          <w:pPr>
            <w:pStyle w:val="17"/>
            <w:tabs>
              <w:tab w:val="right" w:leader="dot" w:pos="8845"/>
            </w:tabs>
          </w:pPr>
          <w:r>
            <w:fldChar w:fldCharType="begin"/>
          </w:r>
          <w:r>
            <w:instrText xml:space="preserve"> HYPERLINK \l "_Toc29687" </w:instrText>
          </w:r>
          <w:r>
            <w:fldChar w:fldCharType="separate"/>
          </w:r>
          <w:r>
            <w:rPr>
              <w:rFonts w:hint="eastAsia" w:ascii="楷体_GB2312" w:hAnsi="楷体_GB2312" w:eastAsia="楷体_GB2312" w:cs="楷体_GB2312"/>
              <w:bCs/>
              <w:szCs w:val="28"/>
            </w:rPr>
            <w:t>（一）本专业公共基础课设置</w:t>
          </w:r>
          <w:r>
            <w:tab/>
          </w:r>
          <w:r>
            <w:fldChar w:fldCharType="begin"/>
          </w:r>
          <w:r>
            <w:instrText xml:space="preserve"> PAGEREF _Toc29687 \h </w:instrText>
          </w:r>
          <w:r>
            <w:fldChar w:fldCharType="separate"/>
          </w:r>
          <w:r>
            <w:t>6</w:t>
          </w:r>
          <w:r>
            <w:fldChar w:fldCharType="end"/>
          </w:r>
          <w:r>
            <w:fldChar w:fldCharType="end"/>
          </w:r>
        </w:p>
        <w:p>
          <w:pPr>
            <w:pStyle w:val="17"/>
            <w:tabs>
              <w:tab w:val="right" w:leader="dot" w:pos="8845"/>
            </w:tabs>
          </w:pPr>
          <w:r>
            <w:fldChar w:fldCharType="begin"/>
          </w:r>
          <w:r>
            <w:instrText xml:space="preserve"> HYPERLINK \l "_Toc27140" </w:instrText>
          </w:r>
          <w:r>
            <w:fldChar w:fldCharType="separate"/>
          </w:r>
          <w:r>
            <w:rPr>
              <w:rFonts w:hint="eastAsia" w:ascii="楷体_GB2312" w:hAnsi="楷体_GB2312" w:eastAsia="楷体_GB2312" w:cs="楷体_GB2312"/>
              <w:bCs/>
              <w:szCs w:val="28"/>
            </w:rPr>
            <w:t>（二）专业（技能）课设置</w:t>
          </w:r>
          <w:r>
            <w:tab/>
          </w:r>
          <w:r>
            <w:fldChar w:fldCharType="begin"/>
          </w:r>
          <w:r>
            <w:instrText xml:space="preserve"> PAGEREF _Toc27140 \h </w:instrText>
          </w:r>
          <w:r>
            <w:fldChar w:fldCharType="separate"/>
          </w:r>
          <w:r>
            <w:t>9</w:t>
          </w:r>
          <w:r>
            <w:fldChar w:fldCharType="end"/>
          </w:r>
          <w:r>
            <w:fldChar w:fldCharType="end"/>
          </w:r>
        </w:p>
        <w:p>
          <w:pPr>
            <w:pStyle w:val="17"/>
            <w:tabs>
              <w:tab w:val="right" w:leader="dot" w:pos="8845"/>
            </w:tabs>
          </w:pPr>
          <w:r>
            <w:fldChar w:fldCharType="begin"/>
          </w:r>
          <w:r>
            <w:instrText xml:space="preserve"> HYPERLINK \l "_Toc16060" </w:instrText>
          </w:r>
          <w:r>
            <w:fldChar w:fldCharType="separate"/>
          </w:r>
          <w:r>
            <w:rPr>
              <w:rFonts w:hint="eastAsia" w:ascii="黑体" w:hAnsi="黑体" w:eastAsia="黑体" w:cs="黑体"/>
              <w:bCs/>
              <w:szCs w:val="30"/>
            </w:rPr>
            <w:t>七、教学进程总体安排</w:t>
          </w:r>
          <w:r>
            <w:tab/>
          </w:r>
          <w:r>
            <w:fldChar w:fldCharType="begin"/>
          </w:r>
          <w:r>
            <w:instrText xml:space="preserve"> PAGEREF _Toc16060 \h </w:instrText>
          </w:r>
          <w:r>
            <w:fldChar w:fldCharType="separate"/>
          </w:r>
          <w:r>
            <w:t>12</w:t>
          </w:r>
          <w:r>
            <w:fldChar w:fldCharType="end"/>
          </w:r>
          <w:r>
            <w:fldChar w:fldCharType="end"/>
          </w:r>
        </w:p>
        <w:p>
          <w:pPr>
            <w:pStyle w:val="21"/>
            <w:tabs>
              <w:tab w:val="right" w:leader="dot" w:pos="8845"/>
            </w:tabs>
          </w:pPr>
          <w:r>
            <w:fldChar w:fldCharType="begin"/>
          </w:r>
          <w:r>
            <w:instrText xml:space="preserve"> HYPERLINK \l "_Toc18477" </w:instrText>
          </w:r>
          <w:r>
            <w:fldChar w:fldCharType="separate"/>
          </w:r>
          <w:r>
            <w:rPr>
              <w:rFonts w:hint="eastAsia" w:ascii="楷体_GB2312" w:hAnsi="楷体_GB2312" w:eastAsia="楷体_GB2312" w:cs="楷体_GB2312"/>
              <w:bCs/>
              <w:szCs w:val="30"/>
            </w:rPr>
            <w:t>（一）教育教学时间安排表</w:t>
          </w:r>
          <w:r>
            <w:tab/>
          </w:r>
          <w:r>
            <w:fldChar w:fldCharType="begin"/>
          </w:r>
          <w:r>
            <w:instrText xml:space="preserve"> PAGEREF _Toc18477 \h </w:instrText>
          </w:r>
          <w:r>
            <w:fldChar w:fldCharType="separate"/>
          </w:r>
          <w:r>
            <w:t>12</w:t>
          </w:r>
          <w:r>
            <w:fldChar w:fldCharType="end"/>
          </w:r>
          <w:r>
            <w:fldChar w:fldCharType="end"/>
          </w:r>
        </w:p>
        <w:p>
          <w:pPr>
            <w:pStyle w:val="21"/>
            <w:tabs>
              <w:tab w:val="right" w:leader="dot" w:pos="8845"/>
            </w:tabs>
          </w:pPr>
          <w:r>
            <w:fldChar w:fldCharType="begin"/>
          </w:r>
          <w:r>
            <w:instrText xml:space="preserve"> HYPERLINK \l "_Toc20608" </w:instrText>
          </w:r>
          <w:r>
            <w:fldChar w:fldCharType="separate"/>
          </w:r>
          <w:r>
            <w:rPr>
              <w:rFonts w:hint="eastAsia" w:ascii="楷体_GB2312" w:hAnsi="楷体_GB2312" w:eastAsia="楷体_GB2312" w:cs="楷体_GB2312"/>
              <w:bCs/>
              <w:szCs w:val="30"/>
            </w:rPr>
            <w:t>（二）理论与实践教学学时分配表</w:t>
          </w:r>
          <w:r>
            <w:tab/>
          </w:r>
          <w:r>
            <w:fldChar w:fldCharType="begin"/>
          </w:r>
          <w:r>
            <w:instrText xml:space="preserve"> PAGEREF _Toc20608 \h </w:instrText>
          </w:r>
          <w:r>
            <w:fldChar w:fldCharType="separate"/>
          </w:r>
          <w:r>
            <w:t>12</w:t>
          </w:r>
          <w:r>
            <w:fldChar w:fldCharType="end"/>
          </w:r>
          <w:r>
            <w:fldChar w:fldCharType="end"/>
          </w:r>
        </w:p>
        <w:p>
          <w:pPr>
            <w:pStyle w:val="21"/>
            <w:tabs>
              <w:tab w:val="right" w:leader="dot" w:pos="8845"/>
            </w:tabs>
          </w:pPr>
          <w:r>
            <w:fldChar w:fldCharType="begin"/>
          </w:r>
          <w:r>
            <w:instrText xml:space="preserve"> HYPERLINK \l "_Toc22338" </w:instrText>
          </w:r>
          <w:r>
            <w:fldChar w:fldCharType="separate"/>
          </w:r>
          <w:r>
            <w:rPr>
              <w:rFonts w:hint="eastAsia" w:ascii="楷体_GB2312" w:hAnsi="楷体_GB2312" w:eastAsia="楷体_GB2312" w:cs="楷体_GB2312"/>
              <w:bCs/>
              <w:szCs w:val="28"/>
            </w:rPr>
            <w:t>（三）教学进度安排计划表----必修课程设置及学分、学时、进程表</w:t>
          </w:r>
          <w:r>
            <w:tab/>
          </w:r>
          <w:r>
            <w:fldChar w:fldCharType="begin"/>
          </w:r>
          <w:r>
            <w:instrText xml:space="preserve"> PAGEREF _Toc22338 \h </w:instrText>
          </w:r>
          <w:r>
            <w:fldChar w:fldCharType="separate"/>
          </w:r>
          <w:r>
            <w:t>14</w:t>
          </w:r>
          <w:r>
            <w:fldChar w:fldCharType="end"/>
          </w:r>
          <w:r>
            <w:fldChar w:fldCharType="end"/>
          </w:r>
        </w:p>
        <w:p>
          <w:pPr>
            <w:pStyle w:val="17"/>
            <w:tabs>
              <w:tab w:val="right" w:leader="dot" w:pos="8845"/>
            </w:tabs>
          </w:pPr>
          <w:r>
            <w:fldChar w:fldCharType="begin"/>
          </w:r>
          <w:r>
            <w:instrText xml:space="preserve"> HYPERLINK \l "_Toc31424" </w:instrText>
          </w:r>
          <w:r>
            <w:fldChar w:fldCharType="separate"/>
          </w:r>
          <w:r>
            <w:rPr>
              <w:rFonts w:hint="eastAsia" w:ascii="黑体" w:hAnsi="黑体" w:eastAsia="黑体" w:cs="黑体"/>
              <w:bCs/>
              <w:szCs w:val="28"/>
            </w:rPr>
            <w:t>八、实施与保障</w:t>
          </w:r>
          <w:r>
            <w:tab/>
          </w:r>
          <w:r>
            <w:fldChar w:fldCharType="begin"/>
          </w:r>
          <w:r>
            <w:instrText xml:space="preserve"> PAGEREF _Toc31424 \h </w:instrText>
          </w:r>
          <w:r>
            <w:fldChar w:fldCharType="separate"/>
          </w:r>
          <w:r>
            <w:t>21</w:t>
          </w:r>
          <w:r>
            <w:fldChar w:fldCharType="end"/>
          </w:r>
          <w:r>
            <w:fldChar w:fldCharType="end"/>
          </w:r>
        </w:p>
        <w:p>
          <w:pPr>
            <w:pStyle w:val="21"/>
            <w:tabs>
              <w:tab w:val="right" w:leader="dot" w:pos="8845"/>
            </w:tabs>
          </w:pPr>
          <w:r>
            <w:fldChar w:fldCharType="begin"/>
          </w:r>
          <w:r>
            <w:instrText xml:space="preserve"> HYPERLINK \l "_Toc25638" </w:instrText>
          </w:r>
          <w:r>
            <w:fldChar w:fldCharType="separate"/>
          </w:r>
          <w:r>
            <w:rPr>
              <w:rFonts w:hint="eastAsia" w:ascii="楷体_GB2312" w:hAnsi="楷体_GB2312" w:eastAsia="楷体_GB2312" w:cs="楷体_GB2312"/>
              <w:bCs/>
              <w:szCs w:val="28"/>
            </w:rPr>
            <w:t>（一）师资队伍</w:t>
          </w:r>
          <w:r>
            <w:tab/>
          </w:r>
          <w:r>
            <w:fldChar w:fldCharType="begin"/>
          </w:r>
          <w:r>
            <w:instrText xml:space="preserve"> PAGEREF _Toc25638 \h </w:instrText>
          </w:r>
          <w:r>
            <w:fldChar w:fldCharType="separate"/>
          </w:r>
          <w:r>
            <w:t>21</w:t>
          </w:r>
          <w:r>
            <w:fldChar w:fldCharType="end"/>
          </w:r>
          <w:r>
            <w:fldChar w:fldCharType="end"/>
          </w:r>
        </w:p>
        <w:p>
          <w:pPr>
            <w:pStyle w:val="21"/>
            <w:tabs>
              <w:tab w:val="right" w:leader="dot" w:pos="8845"/>
            </w:tabs>
          </w:pPr>
          <w:r>
            <w:fldChar w:fldCharType="begin"/>
          </w:r>
          <w:r>
            <w:instrText xml:space="preserve"> HYPERLINK \l "_Toc31426" </w:instrText>
          </w:r>
          <w:r>
            <w:fldChar w:fldCharType="separate"/>
          </w:r>
          <w:r>
            <w:rPr>
              <w:rFonts w:hint="eastAsia" w:ascii="楷体_GB2312" w:hAnsi="楷体_GB2312" w:eastAsia="楷体_GB2312" w:cs="楷体_GB2312"/>
              <w:bCs/>
              <w:szCs w:val="28"/>
            </w:rPr>
            <w:t>（二）教学设施</w:t>
          </w:r>
          <w:r>
            <w:tab/>
          </w:r>
          <w:r>
            <w:fldChar w:fldCharType="begin"/>
          </w:r>
          <w:r>
            <w:instrText xml:space="preserve"> PAGEREF _Toc31426 \h </w:instrText>
          </w:r>
          <w:r>
            <w:fldChar w:fldCharType="separate"/>
          </w:r>
          <w:r>
            <w:t>21</w:t>
          </w:r>
          <w:r>
            <w:fldChar w:fldCharType="end"/>
          </w:r>
          <w:r>
            <w:fldChar w:fldCharType="end"/>
          </w:r>
        </w:p>
        <w:p>
          <w:pPr>
            <w:pStyle w:val="21"/>
            <w:tabs>
              <w:tab w:val="right" w:leader="dot" w:pos="8845"/>
            </w:tabs>
          </w:pPr>
          <w:r>
            <w:fldChar w:fldCharType="begin"/>
          </w:r>
          <w:r>
            <w:instrText xml:space="preserve"> HYPERLINK \l "_Toc4916" </w:instrText>
          </w:r>
          <w:r>
            <w:fldChar w:fldCharType="separate"/>
          </w:r>
          <w:r>
            <w:rPr>
              <w:rFonts w:hint="eastAsia" w:ascii="楷体_GB2312" w:hAnsi="楷体_GB2312" w:eastAsia="楷体_GB2312" w:cs="楷体_GB2312"/>
              <w:bCs/>
              <w:szCs w:val="28"/>
            </w:rPr>
            <w:t>（三）教学资源</w:t>
          </w:r>
          <w:r>
            <w:tab/>
          </w:r>
          <w:r>
            <w:fldChar w:fldCharType="begin"/>
          </w:r>
          <w:r>
            <w:instrText xml:space="preserve"> PAGEREF _Toc4916 \h </w:instrText>
          </w:r>
          <w:r>
            <w:fldChar w:fldCharType="separate"/>
          </w:r>
          <w:r>
            <w:t>22</w:t>
          </w:r>
          <w:r>
            <w:fldChar w:fldCharType="end"/>
          </w:r>
          <w:r>
            <w:fldChar w:fldCharType="end"/>
          </w:r>
        </w:p>
        <w:p>
          <w:pPr>
            <w:pStyle w:val="21"/>
            <w:tabs>
              <w:tab w:val="right" w:leader="dot" w:pos="8845"/>
            </w:tabs>
          </w:pPr>
          <w:r>
            <w:fldChar w:fldCharType="begin"/>
          </w:r>
          <w:r>
            <w:instrText xml:space="preserve"> HYPERLINK \l "_Toc30455" </w:instrText>
          </w:r>
          <w:r>
            <w:fldChar w:fldCharType="separate"/>
          </w:r>
          <w:r>
            <w:rPr>
              <w:rFonts w:hint="eastAsia" w:ascii="楷体_GB2312" w:hAnsi="楷体_GB2312" w:eastAsia="楷体_GB2312" w:cs="楷体_GB2312"/>
              <w:bCs/>
              <w:szCs w:val="28"/>
            </w:rPr>
            <w:t>（四）教学方法</w:t>
          </w:r>
          <w:r>
            <w:tab/>
          </w:r>
          <w:r>
            <w:fldChar w:fldCharType="begin"/>
          </w:r>
          <w:r>
            <w:instrText xml:space="preserve"> PAGEREF _Toc30455 \h </w:instrText>
          </w:r>
          <w:r>
            <w:fldChar w:fldCharType="separate"/>
          </w:r>
          <w:r>
            <w:t>23</w:t>
          </w:r>
          <w:r>
            <w:fldChar w:fldCharType="end"/>
          </w:r>
          <w:r>
            <w:fldChar w:fldCharType="end"/>
          </w:r>
        </w:p>
        <w:p>
          <w:pPr>
            <w:pStyle w:val="21"/>
            <w:tabs>
              <w:tab w:val="right" w:leader="dot" w:pos="8845"/>
            </w:tabs>
          </w:pPr>
          <w:r>
            <w:fldChar w:fldCharType="begin"/>
          </w:r>
          <w:r>
            <w:instrText xml:space="preserve"> HYPERLINK \l "_Toc16020" </w:instrText>
          </w:r>
          <w:r>
            <w:fldChar w:fldCharType="separate"/>
          </w:r>
          <w:r>
            <w:rPr>
              <w:rFonts w:hint="eastAsia" w:ascii="楷体_GB2312" w:hAnsi="楷体_GB2312" w:eastAsia="楷体_GB2312" w:cs="楷体_GB2312"/>
              <w:bCs/>
              <w:szCs w:val="28"/>
            </w:rPr>
            <w:t>（五）学习评价</w:t>
          </w:r>
          <w:r>
            <w:tab/>
          </w:r>
          <w:r>
            <w:fldChar w:fldCharType="begin"/>
          </w:r>
          <w:r>
            <w:instrText xml:space="preserve"> PAGEREF _Toc16020 \h </w:instrText>
          </w:r>
          <w:r>
            <w:fldChar w:fldCharType="separate"/>
          </w:r>
          <w:r>
            <w:t>23</w:t>
          </w:r>
          <w:r>
            <w:fldChar w:fldCharType="end"/>
          </w:r>
          <w:r>
            <w:fldChar w:fldCharType="end"/>
          </w:r>
        </w:p>
        <w:p>
          <w:pPr>
            <w:pStyle w:val="21"/>
            <w:tabs>
              <w:tab w:val="right" w:leader="dot" w:pos="8845"/>
            </w:tabs>
          </w:pPr>
          <w:r>
            <w:fldChar w:fldCharType="begin"/>
          </w:r>
          <w:r>
            <w:instrText xml:space="preserve"> HYPERLINK \l "_Toc24701" </w:instrText>
          </w:r>
          <w:r>
            <w:fldChar w:fldCharType="separate"/>
          </w:r>
          <w:r>
            <w:rPr>
              <w:rFonts w:hint="eastAsia" w:ascii="楷体_GB2312" w:hAnsi="楷体_GB2312" w:eastAsia="楷体_GB2312" w:cs="楷体_GB2312"/>
              <w:bCs/>
              <w:szCs w:val="28"/>
            </w:rPr>
            <w:t>（六）质量管理</w:t>
          </w:r>
          <w:r>
            <w:tab/>
          </w:r>
          <w:r>
            <w:fldChar w:fldCharType="begin"/>
          </w:r>
          <w:r>
            <w:instrText xml:space="preserve"> PAGEREF _Toc24701 \h </w:instrText>
          </w:r>
          <w:r>
            <w:fldChar w:fldCharType="separate"/>
          </w:r>
          <w:r>
            <w:t>24</w:t>
          </w:r>
          <w:r>
            <w:fldChar w:fldCharType="end"/>
          </w:r>
          <w:r>
            <w:fldChar w:fldCharType="end"/>
          </w:r>
        </w:p>
        <w:p>
          <w:pPr>
            <w:pStyle w:val="17"/>
            <w:tabs>
              <w:tab w:val="right" w:leader="dot" w:pos="8845"/>
            </w:tabs>
          </w:pPr>
          <w:r>
            <w:fldChar w:fldCharType="begin"/>
          </w:r>
          <w:r>
            <w:instrText xml:space="preserve"> HYPERLINK \l "_Toc23606" </w:instrText>
          </w:r>
          <w:r>
            <w:fldChar w:fldCharType="separate"/>
          </w:r>
          <w:r>
            <w:rPr>
              <w:rFonts w:hint="eastAsia" w:ascii="黑体" w:hAnsi="黑体" w:eastAsia="黑体" w:cs="黑体"/>
              <w:bCs/>
              <w:szCs w:val="28"/>
            </w:rPr>
            <w:t>九、毕业生要求</w:t>
          </w:r>
          <w:r>
            <w:tab/>
          </w:r>
          <w:r>
            <w:fldChar w:fldCharType="begin"/>
          </w:r>
          <w:r>
            <w:instrText xml:space="preserve"> PAGEREF _Toc23606 \h </w:instrText>
          </w:r>
          <w:r>
            <w:fldChar w:fldCharType="separate"/>
          </w:r>
          <w:r>
            <w:t>25</w:t>
          </w:r>
          <w:r>
            <w:fldChar w:fldCharType="end"/>
          </w:r>
          <w:r>
            <w:fldChar w:fldCharType="end"/>
          </w:r>
        </w:p>
        <w:p>
          <w:pPr>
            <w:rPr>
              <w:color w:val="000000" w:themeColor="text1"/>
            </w:rPr>
          </w:pPr>
          <w:r>
            <w:rPr>
              <w:color w:val="000000" w:themeColor="text1"/>
            </w:rPr>
            <w:fldChar w:fldCharType="end"/>
          </w:r>
        </w:p>
      </w:sdtContent>
    </w:sdt>
    <w:p>
      <w:pPr>
        <w:wordWrap w:val="0"/>
        <w:spacing w:line="520" w:lineRule="exact"/>
        <w:ind w:firstLine="560" w:firstLineChars="200"/>
        <w:jc w:val="left"/>
        <w:outlineLvl w:val="0"/>
        <w:rPr>
          <w:rFonts w:ascii="黑体" w:hAnsi="黑体" w:eastAsia="黑体" w:cs="黑体"/>
          <w:bCs/>
          <w:color w:val="000000" w:themeColor="text1"/>
          <w:sz w:val="28"/>
          <w:szCs w:val="28"/>
        </w:rPr>
      </w:pPr>
    </w:p>
    <w:p>
      <w:pPr>
        <w:wordWrap w:val="0"/>
        <w:spacing w:line="520" w:lineRule="exact"/>
        <w:ind w:firstLine="560" w:firstLineChars="200"/>
        <w:jc w:val="left"/>
        <w:outlineLvl w:val="0"/>
        <w:rPr>
          <w:rFonts w:ascii="黑体" w:hAnsi="黑体" w:eastAsia="黑体" w:cs="黑体"/>
          <w:bCs/>
          <w:color w:val="000000" w:themeColor="text1"/>
          <w:sz w:val="28"/>
          <w:szCs w:val="28"/>
        </w:rPr>
      </w:pPr>
    </w:p>
    <w:p>
      <w:pPr>
        <w:wordWrap w:val="0"/>
        <w:spacing w:line="480" w:lineRule="exact"/>
        <w:ind w:firstLine="560" w:firstLineChars="200"/>
        <w:jc w:val="left"/>
        <w:outlineLvl w:val="0"/>
        <w:rPr>
          <w:rFonts w:ascii="黑体" w:hAnsi="黑体" w:eastAsia="黑体" w:cs="黑体"/>
          <w:bCs/>
          <w:color w:val="000000" w:themeColor="text1"/>
          <w:sz w:val="28"/>
          <w:szCs w:val="28"/>
        </w:rPr>
      </w:pPr>
    </w:p>
    <w:p>
      <w:pPr>
        <w:wordWrap w:val="0"/>
        <w:spacing w:line="480" w:lineRule="exact"/>
        <w:ind w:firstLine="560" w:firstLineChars="200"/>
        <w:jc w:val="left"/>
        <w:outlineLvl w:val="0"/>
        <w:rPr>
          <w:rFonts w:ascii="黑体" w:hAnsi="黑体" w:eastAsia="黑体" w:cs="黑体"/>
          <w:bCs/>
          <w:color w:val="000000" w:themeColor="text1"/>
          <w:sz w:val="28"/>
          <w:szCs w:val="28"/>
        </w:rPr>
      </w:pPr>
    </w:p>
    <w:p>
      <w:pPr>
        <w:wordWrap w:val="0"/>
        <w:spacing w:line="480" w:lineRule="exact"/>
        <w:jc w:val="left"/>
        <w:outlineLvl w:val="0"/>
        <w:rPr>
          <w:rFonts w:ascii="黑体" w:hAnsi="黑体" w:eastAsia="黑体" w:cs="黑体"/>
          <w:bCs/>
          <w:color w:val="000000" w:themeColor="text1"/>
          <w:sz w:val="28"/>
          <w:szCs w:val="28"/>
        </w:rPr>
      </w:pPr>
    </w:p>
    <w:p>
      <w:pPr>
        <w:wordWrap w:val="0"/>
        <w:spacing w:line="480" w:lineRule="exact"/>
        <w:ind w:firstLine="560" w:firstLineChars="200"/>
        <w:jc w:val="left"/>
        <w:outlineLvl w:val="0"/>
        <w:rPr>
          <w:rFonts w:ascii="黑体" w:hAnsi="黑体" w:eastAsia="黑体" w:cs="黑体"/>
          <w:bCs/>
          <w:color w:val="000000" w:themeColor="text1"/>
          <w:sz w:val="28"/>
          <w:szCs w:val="28"/>
        </w:rPr>
      </w:pPr>
      <w:bookmarkStart w:id="0" w:name="_Toc30087"/>
      <w:r>
        <w:rPr>
          <w:rFonts w:hint="eastAsia" w:ascii="黑体" w:hAnsi="黑体" w:eastAsia="黑体" w:cs="黑体"/>
          <w:bCs/>
          <w:color w:val="000000" w:themeColor="text1"/>
          <w:sz w:val="28"/>
          <w:szCs w:val="28"/>
        </w:rPr>
        <w:t>一、专业名称（专业代码）</w:t>
      </w:r>
      <w:bookmarkEnd w:id="0"/>
    </w:p>
    <w:p>
      <w:pPr>
        <w:spacing w:line="360" w:lineRule="auto"/>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专业名称：园艺技术；</w:t>
      </w:r>
    </w:p>
    <w:p>
      <w:pPr>
        <w:spacing w:line="360" w:lineRule="auto"/>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专业代码：410105</w:t>
      </w:r>
    </w:p>
    <w:p>
      <w:pPr>
        <w:wordWrap w:val="0"/>
        <w:spacing w:line="480" w:lineRule="exact"/>
        <w:ind w:firstLine="560" w:firstLineChars="200"/>
        <w:jc w:val="left"/>
        <w:outlineLvl w:val="0"/>
        <w:rPr>
          <w:rFonts w:ascii="黑体" w:hAnsi="黑体" w:eastAsia="黑体" w:cs="黑体"/>
          <w:bCs/>
          <w:color w:val="000000" w:themeColor="text1"/>
          <w:sz w:val="28"/>
          <w:szCs w:val="28"/>
        </w:rPr>
      </w:pPr>
      <w:bookmarkStart w:id="1" w:name="_Toc10415"/>
      <w:r>
        <w:rPr>
          <w:rFonts w:hint="eastAsia" w:ascii="黑体" w:hAnsi="黑体" w:eastAsia="黑体" w:cs="黑体"/>
          <w:bCs/>
          <w:color w:val="000000" w:themeColor="text1"/>
          <w:sz w:val="28"/>
          <w:szCs w:val="28"/>
        </w:rPr>
        <w:t>二、入学要求</w:t>
      </w:r>
      <w:bookmarkEnd w:id="1"/>
    </w:p>
    <w:p>
      <w:pPr>
        <w:wordWrap w:val="0"/>
        <w:spacing w:line="480" w:lineRule="exact"/>
        <w:ind w:firstLine="560" w:firstLineChars="200"/>
        <w:jc w:val="left"/>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高中阶段教育毕业生/具有同等学力者。</w:t>
      </w:r>
    </w:p>
    <w:p>
      <w:pPr>
        <w:wordWrap w:val="0"/>
        <w:spacing w:line="480" w:lineRule="exact"/>
        <w:ind w:firstLine="560" w:firstLineChars="200"/>
        <w:jc w:val="left"/>
        <w:outlineLvl w:val="0"/>
        <w:rPr>
          <w:rFonts w:ascii="黑体" w:hAnsi="黑体" w:eastAsia="黑体" w:cs="黑体"/>
          <w:bCs/>
          <w:color w:val="000000" w:themeColor="text1"/>
          <w:sz w:val="28"/>
          <w:szCs w:val="28"/>
        </w:rPr>
      </w:pPr>
      <w:bookmarkStart w:id="2" w:name="_Toc20397"/>
      <w:r>
        <w:rPr>
          <w:rFonts w:hint="eastAsia" w:ascii="黑体" w:hAnsi="黑体" w:eastAsia="黑体" w:cs="黑体"/>
          <w:bCs/>
          <w:color w:val="000000" w:themeColor="text1"/>
          <w:sz w:val="28"/>
          <w:szCs w:val="28"/>
        </w:rPr>
        <w:t>三、修业年限及学历</w:t>
      </w:r>
      <w:bookmarkEnd w:id="2"/>
    </w:p>
    <w:p>
      <w:pPr>
        <w:spacing w:line="360" w:lineRule="auto"/>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基本学制3年，专科。</w:t>
      </w:r>
    </w:p>
    <w:p>
      <w:pPr>
        <w:wordWrap w:val="0"/>
        <w:spacing w:line="480" w:lineRule="exact"/>
        <w:ind w:firstLine="560" w:firstLineChars="200"/>
        <w:jc w:val="left"/>
        <w:outlineLvl w:val="0"/>
        <w:rPr>
          <w:rFonts w:ascii="黑体" w:hAnsi="黑体" w:eastAsia="黑体" w:cs="黑体"/>
          <w:bCs/>
          <w:color w:val="000000" w:themeColor="text1"/>
          <w:sz w:val="28"/>
          <w:szCs w:val="28"/>
        </w:rPr>
      </w:pPr>
      <w:bookmarkStart w:id="3" w:name="_Toc27009"/>
      <w:r>
        <w:rPr>
          <w:rFonts w:hint="eastAsia" w:ascii="黑体" w:hAnsi="黑体" w:eastAsia="黑体" w:cs="黑体"/>
          <w:bCs/>
          <w:color w:val="000000" w:themeColor="text1"/>
          <w:sz w:val="28"/>
          <w:szCs w:val="28"/>
        </w:rPr>
        <w:t>四、职业面向</w:t>
      </w:r>
      <w:bookmarkEnd w:id="3"/>
      <w:bookmarkStart w:id="4" w:name="_Toc38299245"/>
      <w:bookmarkStart w:id="5" w:name="_Toc38201832"/>
    </w:p>
    <w:p>
      <w:pPr>
        <w:wordWrap w:val="0"/>
        <w:spacing w:line="480" w:lineRule="exact"/>
        <w:ind w:firstLine="560" w:firstLineChars="200"/>
        <w:jc w:val="left"/>
        <w:outlineLvl w:val="1"/>
        <w:rPr>
          <w:rFonts w:ascii="楷体_GB2312" w:hAnsi="楷体_GB2312" w:eastAsia="楷体_GB2312" w:cs="楷体_GB2312"/>
          <w:color w:val="000000" w:themeColor="text1"/>
          <w:sz w:val="28"/>
          <w:szCs w:val="28"/>
        </w:rPr>
      </w:pPr>
      <w:bookmarkStart w:id="6" w:name="_Toc16142"/>
      <w:r>
        <w:rPr>
          <w:rFonts w:hint="eastAsia" w:ascii="楷体_GB2312" w:hAnsi="楷体_GB2312" w:eastAsia="楷体_GB2312" w:cs="楷体_GB2312"/>
          <w:color w:val="000000" w:themeColor="text1"/>
          <w:sz w:val="28"/>
          <w:szCs w:val="28"/>
        </w:rPr>
        <w:t>（一）本专业职业面向</w:t>
      </w:r>
      <w:bookmarkEnd w:id="4"/>
      <w:bookmarkEnd w:id="5"/>
      <w:bookmarkEnd w:id="6"/>
    </w:p>
    <w:tbl>
      <w:tblPr>
        <w:tblStyle w:val="28"/>
        <w:tblW w:w="8522"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882" w:hRule="atLeast"/>
          <w:jc w:val="center"/>
        </w:trPr>
        <w:tc>
          <w:tcPr>
            <w:tcW w:w="1704" w:type="dxa"/>
            <w:tcBorders>
              <w:tl2br w:val="nil"/>
              <w:tr2bl w:val="nil"/>
            </w:tcBorders>
          </w:tcPr>
          <w:p>
            <w:pPr>
              <w:spacing w:line="360" w:lineRule="auto"/>
              <w:jc w:val="center"/>
              <w:rPr>
                <w:b/>
                <w:bCs/>
                <w:szCs w:val="21"/>
              </w:rPr>
            </w:pPr>
            <w:bookmarkStart w:id="7" w:name="_Toc38299246"/>
            <w:bookmarkStart w:id="8" w:name="_Toc38201833"/>
            <w:bookmarkStart w:id="9" w:name="_Toc9981"/>
            <w:r>
              <w:rPr>
                <w:rFonts w:hint="eastAsia"/>
                <w:b/>
                <w:bCs/>
                <w:szCs w:val="21"/>
              </w:rPr>
              <w:t>所属专业大类（代码）</w:t>
            </w:r>
          </w:p>
        </w:tc>
        <w:tc>
          <w:tcPr>
            <w:tcW w:w="1704" w:type="dxa"/>
            <w:tcBorders>
              <w:tl2br w:val="nil"/>
              <w:tr2bl w:val="nil"/>
            </w:tcBorders>
          </w:tcPr>
          <w:p>
            <w:pPr>
              <w:spacing w:line="360" w:lineRule="auto"/>
              <w:jc w:val="center"/>
              <w:rPr>
                <w:b/>
                <w:bCs/>
                <w:szCs w:val="21"/>
              </w:rPr>
            </w:pPr>
            <w:r>
              <w:rPr>
                <w:rFonts w:hint="eastAsia"/>
                <w:b/>
                <w:bCs/>
                <w:szCs w:val="21"/>
              </w:rPr>
              <w:t>所属专业类（代码）</w:t>
            </w:r>
          </w:p>
        </w:tc>
        <w:tc>
          <w:tcPr>
            <w:tcW w:w="1704" w:type="dxa"/>
            <w:tcBorders>
              <w:tl2br w:val="nil"/>
              <w:tr2bl w:val="nil"/>
            </w:tcBorders>
          </w:tcPr>
          <w:p>
            <w:pPr>
              <w:spacing w:line="360" w:lineRule="auto"/>
              <w:jc w:val="center"/>
              <w:rPr>
                <w:b/>
                <w:bCs/>
                <w:szCs w:val="21"/>
              </w:rPr>
            </w:pPr>
            <w:r>
              <w:rPr>
                <w:rFonts w:hint="eastAsia"/>
                <w:b/>
                <w:bCs/>
                <w:szCs w:val="21"/>
              </w:rPr>
              <w:t>对应行业（代码）</w:t>
            </w:r>
          </w:p>
        </w:tc>
        <w:tc>
          <w:tcPr>
            <w:tcW w:w="1705" w:type="dxa"/>
            <w:tcBorders>
              <w:tl2br w:val="nil"/>
              <w:tr2bl w:val="nil"/>
            </w:tcBorders>
          </w:tcPr>
          <w:p>
            <w:pPr>
              <w:spacing w:line="360" w:lineRule="auto"/>
              <w:jc w:val="center"/>
              <w:rPr>
                <w:b/>
                <w:bCs/>
                <w:szCs w:val="21"/>
              </w:rPr>
            </w:pPr>
            <w:r>
              <w:rPr>
                <w:rFonts w:hint="eastAsia"/>
                <w:b/>
                <w:bCs/>
                <w:szCs w:val="21"/>
              </w:rPr>
              <w:t>主要职业类别（代码）</w:t>
            </w:r>
          </w:p>
        </w:tc>
        <w:tc>
          <w:tcPr>
            <w:tcW w:w="1705" w:type="dxa"/>
            <w:tcBorders>
              <w:tl2br w:val="nil"/>
              <w:tr2bl w:val="nil"/>
            </w:tcBorders>
          </w:tcPr>
          <w:p>
            <w:pPr>
              <w:spacing w:line="360" w:lineRule="auto"/>
              <w:jc w:val="center"/>
              <w:rPr>
                <w:b/>
                <w:bCs/>
                <w:szCs w:val="21"/>
              </w:rPr>
            </w:pPr>
            <w:r>
              <w:rPr>
                <w:rFonts w:hint="eastAsia"/>
                <w:b/>
                <w:bCs/>
                <w:szCs w:val="21"/>
              </w:rPr>
              <w:t>主要岗位群或技术领域举例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1228" w:hRule="atLeast"/>
          <w:jc w:val="center"/>
        </w:trPr>
        <w:tc>
          <w:tcPr>
            <w:tcW w:w="1704" w:type="dxa"/>
            <w:tcBorders>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农林牧渔大类（41）</w:t>
            </w:r>
          </w:p>
        </w:tc>
        <w:tc>
          <w:tcPr>
            <w:tcW w:w="1704" w:type="dxa"/>
            <w:tcBorders>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农业类</w:t>
            </w:r>
          </w:p>
          <w:p>
            <w:pPr>
              <w:spacing w:line="360" w:lineRule="auto"/>
              <w:jc w:val="center"/>
              <w:rPr>
                <w:rFonts w:ascii="宋体" w:hAnsi="宋体" w:eastAsia="宋体" w:cs="宋体"/>
                <w:szCs w:val="21"/>
              </w:rPr>
            </w:pPr>
            <w:r>
              <w:rPr>
                <w:rFonts w:hint="eastAsia" w:ascii="宋体" w:hAnsi="宋体" w:eastAsia="宋体" w:cs="宋体"/>
                <w:szCs w:val="21"/>
              </w:rPr>
              <w:t>（4101）</w:t>
            </w:r>
          </w:p>
        </w:tc>
        <w:tc>
          <w:tcPr>
            <w:tcW w:w="1704" w:type="dxa"/>
            <w:tcBorders>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农业（01）</w:t>
            </w:r>
          </w:p>
          <w:p>
            <w:pPr>
              <w:spacing w:line="360" w:lineRule="auto"/>
              <w:jc w:val="center"/>
              <w:rPr>
                <w:rFonts w:ascii="宋体" w:hAnsi="宋体" w:eastAsia="宋体" w:cs="宋体"/>
                <w:szCs w:val="21"/>
              </w:rPr>
            </w:pPr>
            <w:r>
              <w:rPr>
                <w:rFonts w:hint="eastAsia" w:ascii="宋体" w:hAnsi="宋体" w:eastAsia="宋体" w:cs="宋体"/>
                <w:szCs w:val="21"/>
              </w:rPr>
              <w:t>农业专业及辅助性活动（051）</w:t>
            </w:r>
          </w:p>
        </w:tc>
        <w:tc>
          <w:tcPr>
            <w:tcW w:w="1705" w:type="dxa"/>
            <w:tcBorders>
              <w:tl2br w:val="nil"/>
              <w:tr2bl w:val="nil"/>
            </w:tcBorders>
          </w:tcPr>
          <w:p>
            <w:pPr>
              <w:spacing w:line="360" w:lineRule="auto"/>
              <w:jc w:val="center"/>
              <w:rPr>
                <w:rFonts w:ascii="宋体" w:hAnsi="宋体" w:eastAsia="宋体" w:cs="宋体"/>
                <w:szCs w:val="21"/>
              </w:rPr>
            </w:pPr>
            <w:r>
              <w:rPr>
                <w:rFonts w:hint="eastAsia" w:ascii="宋体" w:hAnsi="宋体" w:eastAsia="宋体" w:cs="宋体"/>
                <w:szCs w:val="21"/>
              </w:rPr>
              <w:t>农业生产服务人员（5-05-01）</w:t>
            </w:r>
          </w:p>
          <w:p>
            <w:pPr>
              <w:spacing w:line="360" w:lineRule="auto"/>
              <w:jc w:val="left"/>
              <w:rPr>
                <w:rFonts w:ascii="宋体" w:hAnsi="宋体" w:eastAsia="宋体" w:cs="宋体"/>
                <w:szCs w:val="21"/>
              </w:rPr>
            </w:pPr>
            <w:r>
              <w:rPr>
                <w:rFonts w:hint="eastAsia" w:ascii="宋体" w:hAnsi="宋体" w:eastAsia="宋体" w:cs="宋体"/>
                <w:szCs w:val="21"/>
              </w:rPr>
              <w:t>园艺技术人员（2-03-04）</w:t>
            </w:r>
          </w:p>
        </w:tc>
        <w:tc>
          <w:tcPr>
            <w:tcW w:w="1705" w:type="dxa"/>
            <w:tcBorders>
              <w:tl2br w:val="nil"/>
              <w:tr2bl w:val="nil"/>
            </w:tcBorders>
          </w:tcPr>
          <w:p>
            <w:pPr>
              <w:spacing w:line="360" w:lineRule="auto"/>
              <w:jc w:val="left"/>
              <w:rPr>
                <w:rFonts w:ascii="宋体" w:hAnsi="宋体" w:eastAsia="宋体" w:cs="宋体"/>
                <w:szCs w:val="21"/>
              </w:rPr>
            </w:pPr>
            <w:r>
              <w:rPr>
                <w:rFonts w:hint="eastAsia" w:ascii="宋体" w:hAnsi="宋体" w:eastAsia="宋体" w:cs="宋体"/>
                <w:szCs w:val="21"/>
              </w:rPr>
              <w:t>主要面向园艺产品生产、储运、经营企业；从事种苗繁育、田间生产试验、农资产品销售等工作</w:t>
            </w:r>
          </w:p>
        </w:tc>
      </w:tr>
    </w:tbl>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rPr>
      </w:pPr>
      <w:r>
        <w:rPr>
          <w:rFonts w:hint="eastAsia" w:ascii="楷体_GB2312" w:hAnsi="楷体_GB2312" w:eastAsia="楷体_GB2312" w:cs="楷体_GB2312"/>
          <w:color w:val="000000" w:themeColor="text1"/>
          <w:sz w:val="28"/>
          <w:szCs w:val="28"/>
        </w:rPr>
        <w:t>（二）职业等级证书、行业企业标准和证书</w:t>
      </w:r>
      <w:bookmarkEnd w:id="7"/>
      <w:bookmarkEnd w:id="8"/>
      <w:bookmarkEnd w:id="9"/>
    </w:p>
    <w:p>
      <w:pPr>
        <w:pStyle w:val="82"/>
        <w:spacing w:line="560" w:lineRule="exact"/>
        <w:ind w:firstLine="560" w:firstLineChars="200"/>
        <w:outlineLvl w:val="9"/>
        <w:rPr>
          <w:rFonts w:ascii="仿宋_GB2312" w:hAnsi="仿宋_GB2312" w:eastAsia="仿宋_GB2312" w:cs="仿宋_GB2312"/>
          <w:b w:val="0"/>
          <w:color w:val="000000" w:themeColor="text1"/>
          <w:sz w:val="28"/>
          <w:szCs w:val="28"/>
        </w:rPr>
      </w:pPr>
      <w:bookmarkStart w:id="10" w:name="_Toc93"/>
      <w:bookmarkStart w:id="11" w:name="_Toc9012"/>
      <w:r>
        <w:rPr>
          <w:rFonts w:hint="eastAsia" w:ascii="仿宋_GB2312" w:hAnsi="仿宋_GB2312" w:eastAsia="仿宋_GB2312" w:cs="仿宋_GB2312"/>
          <w:b w:val="0"/>
          <w:color w:val="000000" w:themeColor="text1"/>
          <w:sz w:val="28"/>
          <w:szCs w:val="28"/>
        </w:rPr>
        <w:t>1.通用证书</w:t>
      </w:r>
      <w:bookmarkEnd w:id="10"/>
      <w:bookmarkEnd w:id="11"/>
    </w:p>
    <w:tbl>
      <w:tblPr>
        <w:tblStyle w:val="27"/>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2190"/>
        <w:gridCol w:w="3762"/>
        <w:gridCol w:w="946"/>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813" w:type="dxa"/>
            <w:vAlign w:val="center"/>
          </w:tcPr>
          <w:p>
            <w:pPr>
              <w:snapToGrid w:val="0"/>
              <w:jc w:val="center"/>
              <w:rPr>
                <w:rFonts w:asciiTheme="minorEastAsia" w:hAnsiTheme="minorEastAsia" w:cstheme="minorEastAsia"/>
                <w:b/>
                <w:color w:val="000000" w:themeColor="text1"/>
                <w:szCs w:val="21"/>
              </w:rPr>
            </w:pPr>
            <w:r>
              <w:rPr>
                <w:rFonts w:hint="eastAsia" w:asciiTheme="minorEastAsia" w:hAnsiTheme="minorEastAsia" w:cstheme="minorEastAsia"/>
                <w:b/>
                <w:color w:val="000000" w:themeColor="text1"/>
                <w:szCs w:val="21"/>
              </w:rPr>
              <w:t>序号</w:t>
            </w:r>
          </w:p>
        </w:tc>
        <w:tc>
          <w:tcPr>
            <w:tcW w:w="2190" w:type="dxa"/>
            <w:vAlign w:val="center"/>
          </w:tcPr>
          <w:p>
            <w:pPr>
              <w:snapToGrid w:val="0"/>
              <w:jc w:val="center"/>
              <w:rPr>
                <w:rFonts w:asciiTheme="minorEastAsia" w:hAnsiTheme="minorEastAsia" w:cstheme="minorEastAsia"/>
                <w:b/>
                <w:color w:val="000000" w:themeColor="text1"/>
                <w:szCs w:val="21"/>
              </w:rPr>
            </w:pPr>
            <w:r>
              <w:rPr>
                <w:rFonts w:hint="eastAsia" w:asciiTheme="minorEastAsia" w:hAnsiTheme="minorEastAsia" w:cstheme="minorEastAsia"/>
                <w:b/>
                <w:color w:val="000000" w:themeColor="text1"/>
                <w:szCs w:val="21"/>
              </w:rPr>
              <w:t>考核项目</w:t>
            </w:r>
          </w:p>
        </w:tc>
        <w:tc>
          <w:tcPr>
            <w:tcW w:w="3762" w:type="dxa"/>
            <w:vAlign w:val="center"/>
          </w:tcPr>
          <w:p>
            <w:pPr>
              <w:snapToGrid w:val="0"/>
              <w:jc w:val="center"/>
              <w:rPr>
                <w:rFonts w:asciiTheme="minorEastAsia" w:hAnsiTheme="minorEastAsia" w:cstheme="minorEastAsia"/>
                <w:b/>
                <w:color w:val="000000" w:themeColor="text1"/>
                <w:szCs w:val="21"/>
              </w:rPr>
            </w:pPr>
            <w:r>
              <w:rPr>
                <w:rFonts w:hint="eastAsia" w:asciiTheme="minorEastAsia" w:hAnsiTheme="minorEastAsia" w:cstheme="minorEastAsia"/>
                <w:b/>
                <w:color w:val="000000" w:themeColor="text1"/>
                <w:szCs w:val="21"/>
              </w:rPr>
              <w:t>考核发证部门</w:t>
            </w:r>
          </w:p>
        </w:tc>
        <w:tc>
          <w:tcPr>
            <w:tcW w:w="946" w:type="dxa"/>
            <w:vAlign w:val="center"/>
          </w:tcPr>
          <w:p>
            <w:pPr>
              <w:snapToGrid w:val="0"/>
              <w:jc w:val="center"/>
              <w:rPr>
                <w:rFonts w:asciiTheme="minorEastAsia" w:hAnsiTheme="minorEastAsia" w:cstheme="minorEastAsia"/>
                <w:b/>
                <w:color w:val="000000" w:themeColor="text1"/>
                <w:szCs w:val="21"/>
              </w:rPr>
            </w:pPr>
            <w:r>
              <w:rPr>
                <w:rFonts w:hint="eastAsia" w:asciiTheme="minorEastAsia" w:hAnsiTheme="minorEastAsia" w:cstheme="minorEastAsia"/>
                <w:b/>
                <w:color w:val="000000" w:themeColor="text1"/>
                <w:szCs w:val="21"/>
              </w:rPr>
              <w:t>等级</w:t>
            </w:r>
          </w:p>
        </w:tc>
        <w:tc>
          <w:tcPr>
            <w:tcW w:w="845" w:type="dxa"/>
            <w:vAlign w:val="center"/>
          </w:tcPr>
          <w:p>
            <w:pPr>
              <w:snapToGrid w:val="0"/>
              <w:jc w:val="center"/>
              <w:rPr>
                <w:rFonts w:asciiTheme="minorEastAsia" w:hAnsiTheme="minorEastAsia" w:cstheme="minorEastAsia"/>
                <w:b/>
                <w:color w:val="000000" w:themeColor="text1"/>
                <w:szCs w:val="21"/>
              </w:rPr>
            </w:pPr>
            <w:r>
              <w:rPr>
                <w:rFonts w:hint="eastAsia" w:asciiTheme="minorEastAsia" w:hAnsiTheme="minorEastAsia" w:cstheme="minorEastAsia"/>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813"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1</w:t>
            </w:r>
          </w:p>
        </w:tc>
        <w:tc>
          <w:tcPr>
            <w:tcW w:w="2190"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rPr>
              <w:t>全国英语等级考试</w:t>
            </w:r>
          </w:p>
        </w:tc>
        <w:tc>
          <w:tcPr>
            <w:tcW w:w="3762"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教育部考试中心</w:t>
            </w:r>
          </w:p>
        </w:tc>
        <w:tc>
          <w:tcPr>
            <w:tcW w:w="946"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三级</w:t>
            </w:r>
          </w:p>
        </w:tc>
        <w:tc>
          <w:tcPr>
            <w:tcW w:w="845" w:type="dxa"/>
            <w:vAlign w:val="center"/>
          </w:tcPr>
          <w:p>
            <w:pPr>
              <w:snapToGrid w:val="0"/>
              <w:jc w:val="center"/>
              <w:rPr>
                <w:rFonts w:asciiTheme="minorEastAsia" w:hAnsiTheme="minorEastAsia" w:cstheme="minorEastAsia"/>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813"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w:t>
            </w:r>
          </w:p>
        </w:tc>
        <w:tc>
          <w:tcPr>
            <w:tcW w:w="2190"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普通话</w:t>
            </w:r>
          </w:p>
        </w:tc>
        <w:tc>
          <w:tcPr>
            <w:tcW w:w="3762"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国家语言文字委员会</w:t>
            </w:r>
          </w:p>
        </w:tc>
        <w:tc>
          <w:tcPr>
            <w:tcW w:w="946"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三甲</w:t>
            </w:r>
          </w:p>
        </w:tc>
        <w:tc>
          <w:tcPr>
            <w:tcW w:w="845" w:type="dxa"/>
            <w:vAlign w:val="center"/>
          </w:tcPr>
          <w:p>
            <w:pPr>
              <w:snapToGrid w:val="0"/>
              <w:jc w:val="center"/>
              <w:rPr>
                <w:rFonts w:asciiTheme="minorEastAsia" w:hAnsi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813"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3</w:t>
            </w:r>
          </w:p>
        </w:tc>
        <w:tc>
          <w:tcPr>
            <w:tcW w:w="2190"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全国计算机等级考试</w:t>
            </w:r>
          </w:p>
        </w:tc>
        <w:tc>
          <w:tcPr>
            <w:tcW w:w="3762"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教育部考试中心</w:t>
            </w:r>
          </w:p>
        </w:tc>
        <w:tc>
          <w:tcPr>
            <w:tcW w:w="946" w:type="dxa"/>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二级</w:t>
            </w:r>
          </w:p>
        </w:tc>
        <w:tc>
          <w:tcPr>
            <w:tcW w:w="845" w:type="dxa"/>
            <w:vAlign w:val="center"/>
          </w:tcPr>
          <w:p>
            <w:pPr>
              <w:snapToGrid w:val="0"/>
              <w:jc w:val="center"/>
              <w:rPr>
                <w:rFonts w:asciiTheme="minorEastAsia" w:hAnsiTheme="minorEastAsia" w:cstheme="minorEastAsia"/>
                <w:color w:val="000000" w:themeColor="text1"/>
                <w:szCs w:val="21"/>
              </w:rPr>
            </w:pPr>
          </w:p>
        </w:tc>
      </w:tr>
    </w:tbl>
    <w:p>
      <w:pPr>
        <w:pStyle w:val="82"/>
        <w:ind w:firstLine="560" w:firstLineChars="200"/>
        <w:outlineLvl w:val="9"/>
        <w:rPr>
          <w:rFonts w:ascii="仿宋_GB2312" w:hAnsi="仿宋_GB2312" w:eastAsia="仿宋_GB2312" w:cs="仿宋_GB2312"/>
          <w:b w:val="0"/>
          <w:color w:val="000000" w:themeColor="text1"/>
          <w:sz w:val="28"/>
          <w:szCs w:val="28"/>
        </w:rPr>
      </w:pPr>
      <w:bookmarkStart w:id="12" w:name="_Toc32008"/>
      <w:bookmarkStart w:id="13" w:name="_Toc8164"/>
      <w:r>
        <w:rPr>
          <w:rFonts w:hint="eastAsia" w:ascii="仿宋_GB2312" w:hAnsi="仿宋_GB2312" w:eastAsia="仿宋_GB2312" w:cs="仿宋_GB2312"/>
          <w:b w:val="0"/>
          <w:color w:val="000000" w:themeColor="text1"/>
          <w:sz w:val="28"/>
          <w:szCs w:val="28"/>
        </w:rPr>
        <w:t>2.本专业职业资格证书</w:t>
      </w:r>
      <w:bookmarkEnd w:id="12"/>
      <w:bookmarkEnd w:id="13"/>
      <w:r>
        <w:rPr>
          <w:rFonts w:hint="eastAsia" w:ascii="仿宋_GB2312" w:hAnsi="仿宋_GB2312" w:eastAsia="仿宋_GB2312" w:cs="仿宋_GB2312"/>
          <w:b w:val="0"/>
          <w:color w:val="000000" w:themeColor="text1"/>
          <w:sz w:val="28"/>
          <w:szCs w:val="28"/>
        </w:rPr>
        <w:t>（包括1+X证书）</w:t>
      </w:r>
    </w:p>
    <w:tbl>
      <w:tblPr>
        <w:tblStyle w:val="2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16"/>
        <w:gridCol w:w="3234"/>
        <w:gridCol w:w="1540"/>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pPr>
              <w:snapToGrid w:val="0"/>
              <w:ind w:left="105" w:leftChars="50"/>
              <w:rPr>
                <w:rFonts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rPr>
            </w:pPr>
            <w:r>
              <w:rPr>
                <w:rFonts w:hint="eastAsia" w:ascii="宋体" w:hAnsi="宋体" w:eastAsia="宋体" w:cs="宋体"/>
                <w:b/>
                <w:color w:val="000000" w:themeColor="text1"/>
                <w:szCs w:val="21"/>
              </w:rPr>
              <w:t>考核项目</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rPr>
            </w:pPr>
            <w:r>
              <w:rPr>
                <w:rFonts w:hint="eastAsia" w:ascii="宋体" w:hAnsi="宋体" w:eastAsia="宋体" w:cs="宋体"/>
                <w:b/>
                <w:color w:val="000000" w:themeColor="text1"/>
                <w:szCs w:val="21"/>
              </w:rPr>
              <w:t>考核发证部门</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rPr>
            </w:pPr>
            <w:r>
              <w:rPr>
                <w:rFonts w:hint="eastAsia" w:ascii="宋体" w:hAnsi="宋体" w:eastAsia="宋体" w:cs="宋体"/>
                <w:b/>
                <w:color w:val="000000" w:themeColor="text1"/>
                <w:szCs w:val="21"/>
              </w:rPr>
              <w:t>等级</w:t>
            </w:r>
          </w:p>
        </w:tc>
        <w:tc>
          <w:tcPr>
            <w:tcW w:w="9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b/>
                <w:color w:val="000000" w:themeColor="text1"/>
                <w:szCs w:val="21"/>
              </w:rPr>
            </w:pPr>
            <w:r>
              <w:rPr>
                <w:rFonts w:hint="eastAsia" w:ascii="宋体" w:hAnsi="宋体" w:eastAsia="宋体" w:cs="宋体"/>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46"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191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设施蔬菜生产</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中级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农产品电商运营</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人力资源和社会保障局</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中级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191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1+X粮农证</w:t>
            </w:r>
          </w:p>
        </w:tc>
        <w:tc>
          <w:tcPr>
            <w:tcW w:w="32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社会组织评价机构</w:t>
            </w:r>
          </w:p>
        </w:tc>
        <w:tc>
          <w:tcPr>
            <w:tcW w:w="15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中级</w:t>
            </w:r>
          </w:p>
        </w:tc>
        <w:tc>
          <w:tcPr>
            <w:tcW w:w="995"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宋体" w:hAnsi="宋体" w:eastAsia="宋体" w:cs="宋体"/>
                <w:color w:val="000000" w:themeColor="text1"/>
                <w:szCs w:val="21"/>
              </w:rPr>
            </w:pPr>
          </w:p>
        </w:tc>
      </w:tr>
    </w:tbl>
    <w:p>
      <w:pPr>
        <w:snapToGrid w:val="0"/>
        <w:spacing w:line="360" w:lineRule="auto"/>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（说明：学生毕业应至少获得一种通用证书和一种专业职业资格证书。）</w:t>
      </w:r>
    </w:p>
    <w:p>
      <w:pPr>
        <w:wordWrap w:val="0"/>
        <w:spacing w:line="560" w:lineRule="exact"/>
        <w:ind w:firstLine="560" w:firstLineChars="200"/>
        <w:jc w:val="left"/>
        <w:outlineLvl w:val="1"/>
        <w:rPr>
          <w:rFonts w:ascii="楷体_GB2312" w:hAnsi="楷体_GB2312" w:eastAsia="楷体_GB2312" w:cs="楷体_GB2312"/>
          <w:color w:val="000000" w:themeColor="text1"/>
          <w:sz w:val="28"/>
          <w:szCs w:val="28"/>
        </w:rPr>
      </w:pPr>
      <w:bookmarkStart w:id="14" w:name="_Toc24781"/>
      <w:r>
        <w:rPr>
          <w:rFonts w:hint="eastAsia" w:ascii="楷体_GB2312" w:hAnsi="楷体_GB2312" w:eastAsia="楷体_GB2312" w:cs="楷体_GB2312"/>
          <w:color w:val="000000" w:themeColor="text1"/>
          <w:sz w:val="28"/>
          <w:szCs w:val="28"/>
        </w:rPr>
        <w:t>（三）职业生涯发展路径</w:t>
      </w:r>
      <w:bookmarkEnd w:id="14"/>
    </w:p>
    <w:p>
      <w:pPr>
        <w:wordWrap w:val="0"/>
        <w:spacing w:line="560" w:lineRule="exact"/>
        <w:ind w:firstLine="560" w:firstLineChars="200"/>
        <w:jc w:val="left"/>
        <w:outlineLvl w:val="0"/>
        <w:rPr>
          <w:rFonts w:ascii="黑体" w:hAnsi="黑体" w:eastAsia="黑体" w:cs="黑体"/>
          <w:bCs/>
          <w:color w:val="000000" w:themeColor="text1"/>
          <w:sz w:val="28"/>
          <w:szCs w:val="28"/>
        </w:rPr>
      </w:pPr>
      <w:r>
        <w:rPr>
          <w:color w:val="000000" w:themeColor="text1"/>
          <w:sz w:val="28"/>
          <w:szCs w:val="28"/>
        </w:rPr>
        <w:pict>
          <v:rect id="_x0000_s1026" o:spid="_x0000_s1026" o:spt="1" style="position:absolute;left:0pt;margin-left:16.55pt;margin-top:12.7pt;height:96.45pt;width:111.4pt;z-index:251660288;v-text-anchor:middle;mso-width-relative:page;mso-height-relative:page;" filled="f" stroked="t" coordsize="21600,21600" o:gfxdata="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eQxmA2AAAAAkBAAAPAAAAAAAAAAEAIAAAACIAAABkcnMvZG93bnJl&#10;di54bWxQSwECFAAUAAAACACHTuJAthhzwm8CAADOBAAADgAAAAAAAAABACAAAAAnAQAAZHJzL2Uy&#10;b0RvYy54bWxQSwUGAAAAAAYABgBZAQAACAYAAAAA&#10;">
            <v:path/>
            <v:fill on="f" focussize="0,0"/>
            <v:stroke weight="1pt" color="#000000" joinstyle="round"/>
            <v:imagedata o:title=""/>
            <o:lock v:ext="edit"/>
            <v:textbox>
              <w:txbxContent>
                <w:p>
                  <w:pPr>
                    <w:spacing w:line="360" w:lineRule="exact"/>
                    <w:jc w:val="center"/>
                    <w:rPr>
                      <w:color w:val="000000" w:themeColor="text1"/>
                      <w:sz w:val="24"/>
                      <w:szCs w:val="24"/>
                    </w:rPr>
                  </w:pPr>
                  <w:r>
                    <w:rPr>
                      <w:rFonts w:hint="eastAsia"/>
                      <w:color w:val="000000" w:themeColor="text1"/>
                      <w:sz w:val="24"/>
                      <w:szCs w:val="24"/>
                    </w:rPr>
                    <w:t>初始岗位</w:t>
                  </w:r>
                </w:p>
                <w:p>
                  <w:pPr>
                    <w:spacing w:line="360" w:lineRule="exact"/>
                    <w:jc w:val="center"/>
                    <w:rPr>
                      <w:color w:val="000000" w:themeColor="text1"/>
                      <w:sz w:val="24"/>
                      <w:szCs w:val="24"/>
                    </w:rPr>
                  </w:pPr>
                  <w:r>
                    <w:rPr>
                      <w:rFonts w:hint="eastAsia"/>
                      <w:color w:val="000000" w:themeColor="text1"/>
                      <w:sz w:val="24"/>
                      <w:szCs w:val="24"/>
                    </w:rPr>
                    <w:t>（农业生产一线）</w:t>
                  </w:r>
                </w:p>
                <w:p>
                  <w:pPr>
                    <w:spacing w:line="360" w:lineRule="exact"/>
                    <w:jc w:val="center"/>
                    <w:rPr>
                      <w:color w:val="000000" w:themeColor="text1"/>
                      <w:sz w:val="24"/>
                      <w:szCs w:val="24"/>
                    </w:rPr>
                  </w:pPr>
                  <w:r>
                    <w:rPr>
                      <w:rFonts w:hint="eastAsia"/>
                      <w:color w:val="000000" w:themeColor="text1"/>
                      <w:sz w:val="24"/>
                      <w:szCs w:val="24"/>
                    </w:rPr>
                    <w:t>（农产品营销员）</w:t>
                  </w:r>
                </w:p>
              </w:txbxContent>
            </v:textbox>
          </v:rect>
        </w:pict>
      </w:r>
      <w:r>
        <w:rPr>
          <w:color w:val="000000" w:themeColor="text1"/>
          <w:sz w:val="28"/>
          <w:szCs w:val="28"/>
        </w:rPr>
        <w:pict>
          <v:rect id="_x0000_s1030" o:spid="_x0000_s1030" o:spt="1" style="position:absolute;left:0pt;margin-left:344.55pt;margin-top:12.7pt;height:96.45pt;width:115.15pt;z-index:251663360;v-text-anchor:middle;mso-width-relative:page;mso-height-relative:page;" filled="f" stroked="t" coordsize="21600,21600" o:gfxdata="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15B6fZAAAACgEAAA8AAAAAAAAAAQAgAAAAIgAAAGRycy9kb3ducmV2LnhtbFBLAQIU&#10;ABQAAAAIAIdO4kC82wqyZAIAAMIEAAAOAAAAAAAAAAEAIAAAACgBAABkcnMvZTJvRG9jLnhtbFBL&#10;BQYAAAAABgAGAFkBAAD+BQAAAAA=&#10;">
            <v:path/>
            <v:fill on="f" focussize="0,0"/>
            <v:stroke weight="1pt" color="#000000" joinstyle="round"/>
            <v:imagedata o:title=""/>
            <o:lock v:ext="edit"/>
            <v:textbox>
              <w:txbxContent>
                <w:p>
                  <w:pPr>
                    <w:spacing w:line="360" w:lineRule="exact"/>
                    <w:jc w:val="center"/>
                    <w:rPr>
                      <w:color w:val="000000" w:themeColor="text1"/>
                      <w:sz w:val="24"/>
                      <w:szCs w:val="24"/>
                    </w:rPr>
                  </w:pPr>
                  <w:r>
                    <w:rPr>
                      <w:rFonts w:hint="eastAsia"/>
                      <w:color w:val="000000" w:themeColor="text1"/>
                      <w:sz w:val="24"/>
                      <w:szCs w:val="24"/>
                    </w:rPr>
                    <w:t>发展岗位</w:t>
                  </w:r>
                </w:p>
                <w:p>
                  <w:pPr>
                    <w:spacing w:line="360" w:lineRule="exact"/>
                    <w:jc w:val="center"/>
                    <w:rPr>
                      <w:color w:val="000000" w:themeColor="text1"/>
                      <w:sz w:val="24"/>
                      <w:szCs w:val="24"/>
                    </w:rPr>
                  </w:pPr>
                  <w:r>
                    <w:rPr>
                      <w:rFonts w:hint="eastAsia"/>
                      <w:color w:val="000000" w:themeColor="text1"/>
                      <w:sz w:val="24"/>
                      <w:szCs w:val="24"/>
                    </w:rPr>
                    <w:t>（高级农艺师师）</w:t>
                  </w:r>
                </w:p>
                <w:p>
                  <w:pPr>
                    <w:spacing w:line="360" w:lineRule="exact"/>
                    <w:jc w:val="center"/>
                    <w:rPr>
                      <w:color w:val="002060"/>
                      <w:sz w:val="24"/>
                      <w:szCs w:val="24"/>
                    </w:rPr>
                  </w:pPr>
                  <w:r>
                    <w:rPr>
                      <w:rFonts w:hint="eastAsia"/>
                      <w:color w:val="000000" w:themeColor="text1"/>
                      <w:sz w:val="24"/>
                      <w:szCs w:val="24"/>
                    </w:rPr>
                    <w:t>（科技特派员）</w:t>
                  </w:r>
                </w:p>
              </w:txbxContent>
            </v:textbox>
          </v:rect>
        </w:pict>
      </w:r>
      <w:r>
        <w:rPr>
          <w:color w:val="000000" w:themeColor="text1"/>
          <w:sz w:val="28"/>
          <w:szCs w:val="28"/>
        </w:rPr>
        <w:pict>
          <v:rect id="_x0000_s1029" o:spid="_x0000_s1029" o:spt="1" style="position:absolute;left:0pt;margin-left:185.85pt;margin-top:12.7pt;height:95.7pt;width:100.95pt;z-index:251661312;v-text-anchor:middle;mso-width-relative:page;mso-height-relative:page;" filled="f" stroked="t" coordsize="21600,21600" o:gfxdata="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pgoftkAAAAKAQAADwAAAAAAAAABACAAAAAiAAAAZHJzL2Rvd25yZXYueG1sUEsBAhQA&#10;FAAAAAgAh07iQPYtvwBjAgAAwgQAAA4AAAAAAAAAAQAgAAAAKAEAAGRycy9lMm9Eb2MueG1sUEsF&#10;BgAAAAAGAAYAWQEAAP0FAAAAAA==&#10;">
            <v:path/>
            <v:fill on="f" focussize="0,0"/>
            <v:stroke weight="1pt" color="#000000" joinstyle="round"/>
            <v:imagedata o:title=""/>
            <o:lock v:ext="edit"/>
            <v:textbox>
              <w:txbxContent>
                <w:p>
                  <w:pPr>
                    <w:spacing w:line="360" w:lineRule="exact"/>
                    <w:jc w:val="center"/>
                    <w:rPr>
                      <w:color w:val="000000" w:themeColor="text1"/>
                      <w:sz w:val="24"/>
                      <w:szCs w:val="24"/>
                    </w:rPr>
                  </w:pPr>
                  <w:r>
                    <w:rPr>
                      <w:rFonts w:hint="eastAsia"/>
                      <w:color w:val="000000" w:themeColor="text1"/>
                      <w:sz w:val="24"/>
                      <w:szCs w:val="24"/>
                    </w:rPr>
                    <w:t>目标岗位</w:t>
                  </w:r>
                </w:p>
                <w:p>
                  <w:pPr>
                    <w:spacing w:line="360" w:lineRule="exact"/>
                    <w:jc w:val="center"/>
                    <w:rPr>
                      <w:color w:val="000000" w:themeColor="text1"/>
                      <w:sz w:val="24"/>
                      <w:szCs w:val="24"/>
                    </w:rPr>
                  </w:pPr>
                  <w:r>
                    <w:rPr>
                      <w:rFonts w:hint="eastAsia"/>
                      <w:color w:val="000000" w:themeColor="text1"/>
                      <w:sz w:val="24"/>
                      <w:szCs w:val="24"/>
                    </w:rPr>
                    <w:t>（农艺师）</w:t>
                  </w:r>
                </w:p>
                <w:p>
                  <w:pPr>
                    <w:spacing w:line="360" w:lineRule="exact"/>
                    <w:jc w:val="center"/>
                    <w:rPr>
                      <w:color w:val="000000" w:themeColor="text1"/>
                      <w:sz w:val="24"/>
                      <w:szCs w:val="24"/>
                    </w:rPr>
                  </w:pPr>
                  <w:r>
                    <w:rPr>
                      <w:rFonts w:hint="eastAsia"/>
                      <w:color w:val="000000" w:themeColor="text1"/>
                      <w:sz w:val="24"/>
                      <w:szCs w:val="24"/>
                    </w:rPr>
                    <w:t>（生产管理者）</w:t>
                  </w:r>
                </w:p>
                <w:p>
                  <w:pPr>
                    <w:spacing w:line="360" w:lineRule="exact"/>
                    <w:jc w:val="center"/>
                    <w:rPr>
                      <w:color w:val="002060"/>
                      <w:sz w:val="24"/>
                      <w:szCs w:val="24"/>
                    </w:rPr>
                  </w:pPr>
                </w:p>
              </w:txbxContent>
            </v:textbox>
          </v:rect>
        </w:pict>
      </w:r>
    </w:p>
    <w:p>
      <w:pPr>
        <w:wordWrap w:val="0"/>
        <w:spacing w:line="560" w:lineRule="exact"/>
        <w:ind w:firstLine="560" w:firstLineChars="200"/>
        <w:jc w:val="left"/>
        <w:outlineLvl w:val="0"/>
        <w:rPr>
          <w:rFonts w:ascii="黑体" w:hAnsi="黑体" w:eastAsia="黑体" w:cs="黑体"/>
          <w:bCs/>
          <w:color w:val="000000" w:themeColor="text1"/>
          <w:sz w:val="28"/>
          <w:szCs w:val="28"/>
        </w:rPr>
      </w:pPr>
      <w:r>
        <w:rPr>
          <w:color w:val="000000" w:themeColor="text1"/>
          <w:sz w:val="28"/>
          <w:szCs w:val="28"/>
        </w:rPr>
        <w:pict>
          <v:shape id="_x0000_s1028" o:spid="_x0000_s1028"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path/>
            <v:fill on="f" focussize="0,0"/>
            <v:stroke color="#000000" joinstyle="round"/>
            <v:imagedata o:title=""/>
            <o:lock v:ext="edit"/>
          </v:shape>
        </w:pict>
      </w:r>
      <w:r>
        <w:rPr>
          <w:color w:val="000000" w:themeColor="text1"/>
          <w:sz w:val="28"/>
          <w:szCs w:val="28"/>
        </w:rPr>
        <w:pict>
          <v:shape id="_x0000_s1027" o:spid="_x0000_s1027"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path/>
            <v:fill on="f" focussize="0,0"/>
            <v:stroke color="#000000" joinstyle="round"/>
            <v:imagedata o:title=""/>
            <o:lock v:ext="edit"/>
          </v:shape>
        </w:pict>
      </w:r>
    </w:p>
    <w:p>
      <w:pPr>
        <w:wordWrap w:val="0"/>
        <w:spacing w:line="560" w:lineRule="exact"/>
        <w:ind w:firstLine="560" w:firstLineChars="200"/>
        <w:jc w:val="left"/>
        <w:outlineLvl w:val="0"/>
        <w:rPr>
          <w:rFonts w:ascii="黑体" w:hAnsi="黑体" w:eastAsia="黑体" w:cs="黑体"/>
          <w:bCs/>
          <w:color w:val="000000" w:themeColor="text1"/>
          <w:sz w:val="28"/>
          <w:szCs w:val="28"/>
        </w:rPr>
      </w:pPr>
    </w:p>
    <w:p>
      <w:pPr>
        <w:wordWrap w:val="0"/>
        <w:spacing w:line="560" w:lineRule="exact"/>
        <w:ind w:firstLine="560" w:firstLineChars="200"/>
        <w:jc w:val="left"/>
        <w:outlineLvl w:val="0"/>
        <w:rPr>
          <w:rFonts w:ascii="黑体" w:hAnsi="黑体" w:eastAsia="黑体" w:cs="黑体"/>
          <w:bCs/>
          <w:color w:val="000000" w:themeColor="text1"/>
          <w:sz w:val="28"/>
          <w:szCs w:val="28"/>
        </w:rPr>
      </w:pPr>
    </w:p>
    <w:p>
      <w:pPr>
        <w:wordWrap w:val="0"/>
        <w:spacing w:line="480" w:lineRule="exact"/>
        <w:ind w:firstLine="560" w:firstLineChars="200"/>
        <w:jc w:val="left"/>
        <w:outlineLvl w:val="0"/>
        <w:rPr>
          <w:rFonts w:ascii="黑体" w:hAnsi="黑体" w:eastAsia="黑体" w:cs="黑体"/>
          <w:bCs/>
          <w:color w:val="000000" w:themeColor="text1"/>
          <w:sz w:val="28"/>
          <w:szCs w:val="28"/>
        </w:rPr>
      </w:pPr>
      <w:bookmarkStart w:id="15" w:name="_Toc7860"/>
      <w:r>
        <w:rPr>
          <w:rFonts w:hint="eastAsia" w:ascii="黑体" w:hAnsi="黑体" w:eastAsia="黑体" w:cs="黑体"/>
          <w:bCs/>
          <w:color w:val="000000" w:themeColor="text1"/>
          <w:sz w:val="28"/>
          <w:szCs w:val="28"/>
        </w:rPr>
        <w:t>五、培养目标与规格</w:t>
      </w:r>
      <w:bookmarkEnd w:id="15"/>
    </w:p>
    <w:p>
      <w:pPr>
        <w:pStyle w:val="80"/>
        <w:spacing w:line="480" w:lineRule="exact"/>
        <w:ind w:firstLine="560" w:firstLineChars="200"/>
        <w:outlineLvl w:val="1"/>
        <w:rPr>
          <w:rFonts w:ascii="楷体_GB2312" w:hAnsi="楷体_GB2312" w:eastAsia="楷体_GB2312" w:cs="楷体_GB2312"/>
          <w:b w:val="0"/>
          <w:bCs/>
          <w:color w:val="000000" w:themeColor="text1"/>
          <w:sz w:val="28"/>
          <w:szCs w:val="28"/>
        </w:rPr>
      </w:pPr>
      <w:bookmarkStart w:id="16" w:name="_Toc31453"/>
      <w:bookmarkStart w:id="17" w:name="_Toc38299247"/>
      <w:bookmarkStart w:id="18" w:name="_Toc38201834"/>
      <w:bookmarkStart w:id="19" w:name="_Toc38299250"/>
      <w:bookmarkStart w:id="20" w:name="_Toc38201837"/>
      <w:r>
        <w:rPr>
          <w:rFonts w:hint="eastAsia" w:ascii="楷体_GB2312" w:hAnsi="楷体_GB2312" w:eastAsia="楷体_GB2312" w:cs="楷体_GB2312"/>
          <w:b w:val="0"/>
          <w:bCs/>
          <w:color w:val="000000" w:themeColor="text1"/>
          <w:sz w:val="28"/>
          <w:szCs w:val="28"/>
        </w:rPr>
        <w:t>（一）培养目标</w:t>
      </w:r>
      <w:bookmarkEnd w:id="16"/>
      <w:bookmarkEnd w:id="17"/>
      <w:bookmarkEnd w:id="18"/>
    </w:p>
    <w:p>
      <w:pPr>
        <w:snapToGrid w:val="0"/>
        <w:spacing w:line="480" w:lineRule="exact"/>
        <w:ind w:firstLine="560" w:firstLineChars="200"/>
        <w:rPr>
          <w:rFonts w:ascii="仿宋_GB2312" w:hAnsi="仿宋_GB2312" w:eastAsia="仿宋_GB2312" w:cs="仿宋_GB2312"/>
          <w:color w:val="000000" w:themeColor="text1"/>
          <w:sz w:val="28"/>
          <w:szCs w:val="28"/>
        </w:rPr>
      </w:pPr>
      <w:bookmarkStart w:id="21" w:name="_Toc20435"/>
      <w:bookmarkStart w:id="22" w:name="_Toc38299248"/>
      <w:bookmarkStart w:id="23" w:name="_Toc38201835"/>
      <w:r>
        <w:rPr>
          <w:rFonts w:hint="eastAsia" w:ascii="仿宋_GB2312" w:hAnsi="仿宋_GB2312" w:eastAsia="仿宋_GB2312" w:cs="仿宋_GB2312"/>
          <w:color w:val="000000" w:themeColor="text1"/>
          <w:sz w:val="28"/>
          <w:szCs w:val="28"/>
        </w:rPr>
        <w:t>本专业培养理想信念坚定，德、智、体、美、劳全面发展，具有一定科学文化水平，良好的人文素养、职业道德和创新意识，精益求精的工匠精神和可持续发展能力。掌握本专业知识和技能，面向园艺技术职业群，能够从事从事北方地区蔬菜露地与保护地栽培、落叶果树育苗与苗圃地管理、应用性试验、组织培养与脱毒育苗、现代化智能温室管理、果蔬产品及切花低温储运、花艺制作和植物造景等工作的高素质技能人才。</w:t>
      </w:r>
    </w:p>
    <w:p>
      <w:pPr>
        <w:pStyle w:val="80"/>
        <w:spacing w:line="480" w:lineRule="exact"/>
        <w:ind w:firstLine="560" w:firstLineChars="200"/>
        <w:outlineLvl w:val="1"/>
        <w:rPr>
          <w:rFonts w:ascii="楷体" w:hAnsi="楷体" w:eastAsia="楷体" w:cs="楷体"/>
          <w:b w:val="0"/>
          <w:bCs/>
          <w:color w:val="000000" w:themeColor="text1"/>
          <w:sz w:val="28"/>
          <w:szCs w:val="28"/>
        </w:rPr>
      </w:pPr>
      <w:r>
        <w:rPr>
          <w:rFonts w:hint="eastAsia" w:ascii="楷体" w:hAnsi="楷体" w:eastAsia="楷体" w:cs="楷体"/>
          <w:b w:val="0"/>
          <w:bCs/>
          <w:color w:val="000000" w:themeColor="text1"/>
          <w:sz w:val="28"/>
          <w:szCs w:val="28"/>
        </w:rPr>
        <w:t>（二）培养规格</w:t>
      </w:r>
      <w:bookmarkEnd w:id="21"/>
      <w:bookmarkEnd w:id="22"/>
      <w:bookmarkEnd w:id="23"/>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本专业毕业生应在素质、知识和能力等方面达到以下要求。</w:t>
      </w: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1.基本素质</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Times New Roman" w:hAnsi="Times New Roman" w:eastAsia="仿宋_GB2312" w:cs="仿宋_GB2312"/>
          <w:color w:val="000000" w:themeColor="text1"/>
          <w:sz w:val="28"/>
          <w:szCs w:val="28"/>
        </w:rPr>
        <w:t>（1）</w:t>
      </w:r>
      <w:r>
        <w:rPr>
          <w:rFonts w:hint="eastAsia" w:ascii="仿宋_GB2312" w:hAnsi="仿宋_GB2312" w:eastAsia="仿宋_GB2312" w:cs="仿宋_GB2312"/>
          <w:bCs/>
          <w:color w:val="000000" w:themeColor="text1"/>
          <w:sz w:val="28"/>
          <w:szCs w:val="28"/>
        </w:rPr>
        <w:t>坚定拥护中国共产党领导和我国社会主义制度，在习近平新时代中国特色社会主义思想指引下，践行社会主义核心价值观，具有深厚的爱国情感和中华民族自豪感。</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Times New Roman" w:hAnsi="Times New Roman" w:eastAsia="仿宋_GB2312" w:cs="仿宋_GB2312"/>
          <w:color w:val="000000" w:themeColor="text1"/>
          <w:sz w:val="28"/>
          <w:szCs w:val="28"/>
        </w:rPr>
        <w:t>（2）</w:t>
      </w:r>
      <w:r>
        <w:rPr>
          <w:rFonts w:hint="eastAsia" w:ascii="仿宋_GB2312" w:hAnsi="仿宋_GB2312" w:eastAsia="仿宋_GB2312" w:cs="仿宋_GB2312"/>
          <w:bCs/>
          <w:color w:val="000000" w:themeColor="text1"/>
          <w:sz w:val="28"/>
          <w:szCs w:val="28"/>
        </w:rPr>
        <w:t>崇尚先法，谭法守纪、崇德向善，诚实守信、尊直生命、热爱劳动，履行道德准则和行为规范，具有社会责任感和社会参与意识。</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Times New Roman" w:hAnsi="Times New Roman" w:eastAsia="仿宋_GB2312" w:cs="仿宋_GB2312"/>
          <w:color w:val="000000" w:themeColor="text1"/>
          <w:sz w:val="28"/>
          <w:szCs w:val="28"/>
        </w:rPr>
        <w:t>（3）</w:t>
      </w:r>
      <w:r>
        <w:rPr>
          <w:rFonts w:hint="eastAsia" w:ascii="仿宋_GB2312" w:hAnsi="仿宋_GB2312" w:eastAsia="仿宋_GB2312" w:cs="仿宋_GB2312"/>
          <w:bCs/>
          <w:color w:val="000000" w:themeColor="text1"/>
          <w:sz w:val="28"/>
          <w:szCs w:val="28"/>
        </w:rPr>
        <w:t>具有质量意识、环保意识、安全意识、信息素养、工匠精神、创新思维。</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Times New Roman" w:hAnsi="Times New Roman" w:eastAsia="仿宋_GB2312" w:cs="仿宋_GB2312"/>
          <w:color w:val="000000" w:themeColor="text1"/>
          <w:sz w:val="28"/>
          <w:szCs w:val="28"/>
        </w:rPr>
        <w:t>（4）</w:t>
      </w:r>
      <w:r>
        <w:rPr>
          <w:rFonts w:hint="eastAsia" w:ascii="仿宋_GB2312" w:hAnsi="仿宋_GB2312" w:eastAsia="仿宋_GB2312" w:cs="仿宋_GB2312"/>
          <w:bCs/>
          <w:color w:val="000000" w:themeColor="text1"/>
          <w:sz w:val="28"/>
          <w:szCs w:val="28"/>
        </w:rPr>
        <w:t>勇于奋斗、乐观向上，具有自我管理能力，职业生涯规划的意识，有较强的集体意识和团队合作精神。</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Times New Roman" w:hAnsi="Times New Roman" w:eastAsia="仿宋_GB2312" w:cs="仿宋_GB2312"/>
          <w:color w:val="000000" w:themeColor="text1"/>
          <w:sz w:val="28"/>
          <w:szCs w:val="28"/>
        </w:rPr>
        <w:t>（5）</w:t>
      </w:r>
      <w:r>
        <w:rPr>
          <w:rFonts w:hint="eastAsia" w:ascii="仿宋_GB2312" w:hAnsi="仿宋_GB2312" w:eastAsia="仿宋_GB2312" w:cs="仿宋_GB2312"/>
          <w:bCs/>
          <w:color w:val="000000" w:themeColor="text1"/>
          <w:sz w:val="28"/>
          <w:szCs w:val="28"/>
        </w:rPr>
        <w:t>具有健康的体魄、心理和健全的人格，掌握基本运动知识和1</w:t>
      </w:r>
      <w:r>
        <w:rPr>
          <w:rFonts w:hint="eastAsia" w:ascii="微软雅黑" w:hAnsi="微软雅黑" w:eastAsia="微软雅黑" w:cs="微软雅黑"/>
          <w:bCs/>
          <w:color w:val="000000" w:themeColor="text1"/>
          <w:sz w:val="28"/>
          <w:szCs w:val="28"/>
        </w:rPr>
        <w:t>~</w:t>
      </w:r>
      <w:r>
        <w:rPr>
          <w:rFonts w:hint="eastAsia" w:ascii="仿宋_GB2312" w:hAnsi="仿宋_GB2312" w:eastAsia="仿宋_GB2312" w:cs="仿宋_GB2312"/>
          <w:bCs/>
          <w:color w:val="000000" w:themeColor="text1"/>
          <w:sz w:val="28"/>
          <w:szCs w:val="28"/>
        </w:rPr>
        <w:t>2项运动技能，养成良好的健身与卫生习惯，以及良好的行为习惯。</w:t>
      </w:r>
    </w:p>
    <w:p>
      <w:pPr>
        <w:snapToGrid w:val="0"/>
        <w:spacing w:line="480" w:lineRule="exact"/>
        <w:ind w:firstLine="560" w:firstLineChars="200"/>
        <w:rPr>
          <w:rFonts w:ascii="仿宋_GB2312" w:hAnsi="仿宋_GB2312" w:eastAsia="仿宋_GB2312" w:cs="仿宋_GB2312"/>
          <w:b/>
          <w:color w:val="000000" w:themeColor="text1"/>
          <w:sz w:val="28"/>
          <w:szCs w:val="28"/>
        </w:rPr>
      </w:pPr>
      <w:r>
        <w:rPr>
          <w:rFonts w:hint="eastAsia" w:ascii="Times New Roman" w:hAnsi="Times New Roman" w:eastAsia="仿宋_GB2312" w:cs="仿宋_GB2312"/>
          <w:color w:val="000000" w:themeColor="text1"/>
          <w:sz w:val="28"/>
          <w:szCs w:val="28"/>
        </w:rPr>
        <w:t>（6）</w:t>
      </w:r>
      <w:r>
        <w:rPr>
          <w:rFonts w:hint="eastAsia" w:ascii="仿宋_GB2312" w:hAnsi="仿宋_GB2312" w:eastAsia="仿宋_GB2312" w:cs="仿宋_GB2312"/>
          <w:bCs/>
          <w:color w:val="000000" w:themeColor="text1"/>
          <w:sz w:val="28"/>
          <w:szCs w:val="28"/>
        </w:rPr>
        <w:t>具有一定的审美和人文素养，能够形成1</w:t>
      </w:r>
      <w:r>
        <w:rPr>
          <w:rFonts w:hint="eastAsia" w:ascii="微软雅黑" w:hAnsi="微软雅黑" w:eastAsia="微软雅黑" w:cs="微软雅黑"/>
          <w:bCs/>
          <w:color w:val="000000" w:themeColor="text1"/>
          <w:sz w:val="28"/>
          <w:szCs w:val="28"/>
        </w:rPr>
        <w:t>~</w:t>
      </w:r>
      <w:r>
        <w:rPr>
          <w:rFonts w:hint="eastAsia" w:ascii="仿宋_GB2312" w:hAnsi="仿宋_GB2312" w:eastAsia="仿宋_GB2312" w:cs="仿宋_GB2312"/>
          <w:bCs/>
          <w:color w:val="000000" w:themeColor="text1"/>
          <w:sz w:val="28"/>
          <w:szCs w:val="28"/>
        </w:rPr>
        <w:t>2项艺术特长或爱好。</w:t>
      </w:r>
      <w:r>
        <w:rPr>
          <w:rFonts w:hint="eastAsia" w:ascii="仿宋_GB2312" w:hAnsi="仿宋_GB2312" w:eastAsia="仿宋_GB2312" w:cs="仿宋_GB2312"/>
          <w:b/>
          <w:color w:val="000000" w:themeColor="text1"/>
          <w:sz w:val="28"/>
          <w:szCs w:val="28"/>
        </w:rPr>
        <w:t>2.知识要求</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（1）掌握必备的思想政治理论、科学文化基础知识和中华优秀传统文化知识。</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（2）熟悉与本专业相关的法律法规以及环境保护、安全消防等知识。</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（3）掌握植物生长与环境、设施作物栽培技术知识。</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（4）掌握园艺作物病虫害识别、防治技术知识。</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（5）掌握设施农业生产、设施园艺装备应用等基础知识。</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（6）掌握设施园艺生产与管理、设施工程设计建设、设施农业装备应用、智能温室环境智能控制系统应用等知识和方法。</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（7）熟练插花与花艺设计技能，与常见切花生产管理技术。</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（8）正确认识园艺景观设计图，熟悉施工管理过程。</w:t>
      </w: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3.能力要求</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（1）具有探究学习、终身学习、分析问题和解决问题的能力。</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（2）具有良好的语言、文字表达能力和沟通能力。</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（3）具有一定的信息加工能力和信息技术应用能力。</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（4）能够正确进行设施园艺项目的规划与设计、建设。</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（5）能够正确调节和控制设施环境，从事蔬菜与花卉栽培。</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（6）能够进行设施作物病、虫、草害的综合防治。</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（7）具有园艺植物种子和苗木繁育能力。</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（8）能够进行农业物联网系统设计、系统集成、施工及系统管理。</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（9）具有园艺景观设计识图，熟悉施工管理过程的能力。</w:t>
      </w:r>
    </w:p>
    <w:p>
      <w:pPr>
        <w:snapToGrid w:val="0"/>
        <w:spacing w:line="480" w:lineRule="exact"/>
        <w:ind w:firstLine="560" w:firstLineChars="200"/>
        <w:rPr>
          <w:rFonts w:ascii="Times New Roman" w:hAnsi="Times New Roman" w:eastAsia="仿宋_GB2312" w:cs="仿宋_GB2312"/>
          <w:color w:val="000000" w:themeColor="text1"/>
          <w:sz w:val="28"/>
          <w:szCs w:val="28"/>
        </w:rPr>
      </w:pPr>
      <w:r>
        <w:rPr>
          <w:rFonts w:hint="eastAsia" w:ascii="Times New Roman" w:hAnsi="Times New Roman" w:eastAsia="仿宋_GB2312" w:cs="仿宋_GB2312"/>
          <w:color w:val="000000" w:themeColor="text1"/>
          <w:sz w:val="28"/>
          <w:szCs w:val="28"/>
        </w:rPr>
        <w:t>（10）具有指导绿色、无公害果树、蔬菜栽培水平。</w:t>
      </w: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4.职业态度</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（1）职业道德：增强学生的诚信品质、敬业精神、责任意识和遵纪守法意识，不谋私利、公道正派、廉洁自律、坚持原则。</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（2）职业行为：严格执行相关职业岗位标准和安全操作规程。能严格遵守企业相关管理制度，养成吃苦耐劳、乐于奉献的职业品质。</w:t>
      </w:r>
    </w:p>
    <w:p>
      <w:pPr>
        <w:snapToGrid w:val="0"/>
        <w:spacing w:line="480" w:lineRule="exact"/>
        <w:ind w:firstLine="560" w:firstLineChars="200"/>
        <w:outlineLvl w:val="1"/>
        <w:rPr>
          <w:rFonts w:ascii="楷体" w:hAnsi="楷体" w:eastAsia="楷体" w:cs="楷体"/>
          <w:bCs/>
          <w:color w:val="000000" w:themeColor="text1"/>
          <w:sz w:val="28"/>
          <w:szCs w:val="28"/>
        </w:rPr>
      </w:pPr>
      <w:bookmarkStart w:id="24" w:name="_Toc9617"/>
      <w:r>
        <w:rPr>
          <w:rFonts w:hint="eastAsia" w:ascii="楷体" w:hAnsi="楷体" w:eastAsia="楷体" w:cs="楷体"/>
          <w:bCs/>
          <w:color w:val="000000" w:themeColor="text1"/>
          <w:sz w:val="28"/>
          <w:szCs w:val="28"/>
        </w:rPr>
        <w:t>（三）创新创业能力的培养</w:t>
      </w:r>
      <w:bookmarkEnd w:id="24"/>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2.改革教育理念，实现由就业型人才培养目标向创业型人才培养目标的转变。改进教学方法，从以传授知识为中心转变为以培养学生创新能力为中心，以人为本，构建创新人才培养的教育模式。</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3.组织各类竞赛及学术讲座，协调大学生的个性发展，促进大学生在创新创业方面得以充分发挥个人才能。</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pStyle w:val="35"/>
        <w:spacing w:line="520" w:lineRule="exact"/>
        <w:ind w:left="319" w:leftChars="152" w:firstLine="281" w:firstLineChars="100"/>
        <w:rPr>
          <w:rFonts w:ascii="黑体" w:hAnsi="黑体" w:eastAsia="黑体" w:cs="黑体"/>
          <w:color w:val="000000" w:themeColor="text1"/>
        </w:rPr>
      </w:pPr>
      <w:bookmarkStart w:id="25" w:name="_Toc13220"/>
      <w:r>
        <w:rPr>
          <w:rFonts w:hint="eastAsia" w:ascii="黑体" w:hAnsi="黑体" w:eastAsia="黑体" w:cs="黑体"/>
          <w:color w:val="000000" w:themeColor="text1"/>
        </w:rPr>
        <w:t>六、课程设置及要求</w:t>
      </w:r>
      <w:bookmarkEnd w:id="19"/>
      <w:bookmarkEnd w:id="20"/>
      <w:bookmarkEnd w:id="25"/>
      <w:r>
        <w:rPr>
          <w:rFonts w:hint="eastAsia" w:ascii="黑体" w:hAnsi="黑体" w:eastAsia="黑体" w:cs="黑体"/>
          <w:color w:val="000000" w:themeColor="text1"/>
        </w:rPr>
        <w:t xml:space="preserve"> </w:t>
      </w:r>
    </w:p>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rPr>
      </w:pPr>
      <w:bookmarkStart w:id="26" w:name="_Toc38201838"/>
      <w:bookmarkStart w:id="27" w:name="_Toc38299251"/>
      <w:bookmarkStart w:id="28" w:name="_Toc29687"/>
      <w:r>
        <w:rPr>
          <w:rFonts w:hint="eastAsia" w:ascii="楷体_GB2312" w:hAnsi="楷体_GB2312" w:eastAsia="楷体_GB2312" w:cs="楷体_GB2312"/>
          <w:b w:val="0"/>
          <w:bCs/>
          <w:color w:val="000000" w:themeColor="text1"/>
          <w:sz w:val="28"/>
          <w:szCs w:val="28"/>
        </w:rPr>
        <w:t>（一）本专业公共基础课设置</w:t>
      </w:r>
      <w:bookmarkEnd w:id="26"/>
      <w:bookmarkEnd w:id="27"/>
      <w:bookmarkEnd w:id="28"/>
    </w:p>
    <w:tbl>
      <w:tblPr>
        <w:tblStyle w:val="27"/>
        <w:tblW w:w="9308" w:type="dxa"/>
        <w:tblInd w:w="-3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1000"/>
        <w:gridCol w:w="3834"/>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szCs w:val="21"/>
              </w:rPr>
              <w:t>序号</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课程名称</w:t>
            </w:r>
          </w:p>
        </w:tc>
        <w:tc>
          <w:tcPr>
            <w:tcW w:w="3834" w:type="dxa"/>
            <w:vAlign w:val="center"/>
          </w:tcPr>
          <w:p>
            <w:pPr>
              <w:snapToGrid w:val="0"/>
              <w:jc w:val="center"/>
              <w:rPr>
                <w:rFonts w:ascii="宋体" w:hAnsi="宋体" w:eastAsia="宋体" w:cs="宋体"/>
                <w:szCs w:val="21"/>
              </w:rPr>
            </w:pPr>
            <w:r>
              <w:rPr>
                <w:rFonts w:hint="eastAsia" w:ascii="宋体" w:hAnsi="宋体" w:eastAsia="宋体" w:cs="宋体"/>
                <w:szCs w:val="21"/>
              </w:rPr>
              <w:t>课程目标</w:t>
            </w:r>
          </w:p>
        </w:tc>
        <w:tc>
          <w:tcPr>
            <w:tcW w:w="4028" w:type="dxa"/>
            <w:vAlign w:val="center"/>
          </w:tcPr>
          <w:p>
            <w:pPr>
              <w:snapToGrid w:val="0"/>
              <w:jc w:val="center"/>
              <w:rPr>
                <w:rFonts w:ascii="宋体" w:hAnsi="宋体" w:eastAsia="宋体" w:cs="宋体"/>
                <w:szCs w:val="21"/>
              </w:rPr>
            </w:pPr>
            <w:r>
              <w:rPr>
                <w:rFonts w:hint="eastAsia" w:ascii="宋体" w:hAnsi="宋体" w:eastAsia="宋体" w:cs="宋体"/>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1</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形势与政策</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2</w:t>
            </w:r>
          </w:p>
        </w:tc>
        <w:tc>
          <w:tcPr>
            <w:tcW w:w="1000"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rPr>
              <w:t>军训</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军事</w:t>
            </w:r>
          </w:p>
          <w:p>
            <w:pPr>
              <w:snapToGrid w:val="0"/>
              <w:jc w:val="center"/>
              <w:rPr>
                <w:rFonts w:ascii="宋体" w:hAnsi="宋体" w:eastAsia="宋体" w:cs="宋体"/>
                <w:szCs w:val="21"/>
              </w:rPr>
            </w:pPr>
            <w:r>
              <w:rPr>
                <w:rFonts w:hint="eastAsia" w:ascii="宋体" w:hAnsi="宋体" w:eastAsia="宋体" w:cs="宋体"/>
                <w:szCs w:val="21"/>
              </w:rPr>
              <w:t>理论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w:t>
            </w:r>
            <w:r>
              <w:rPr>
                <w:rFonts w:hint="eastAsia" w:ascii="宋体" w:hAnsi="宋体" w:eastAsia="宋体" w:cs="宋体"/>
                <w:szCs w:val="21"/>
              </w:rPr>
              <w:t>理论</w:t>
            </w:r>
            <w:r>
              <w:rPr>
                <w:rFonts w:hint="eastAsia" w:ascii="宋体" w:hAnsi="宋体" w:eastAsia="宋体" w:cs="宋体"/>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劳动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5</w:t>
            </w:r>
          </w:p>
        </w:tc>
        <w:tc>
          <w:tcPr>
            <w:tcW w:w="1000" w:type="dxa"/>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思想</w:t>
            </w:r>
          </w:p>
          <w:p>
            <w:pPr>
              <w:snapToGrid w:val="0"/>
              <w:jc w:val="center"/>
              <w:rPr>
                <w:rFonts w:ascii="宋体" w:hAnsi="宋体" w:eastAsia="宋体" w:cs="宋体"/>
                <w:szCs w:val="21"/>
              </w:rPr>
            </w:pPr>
            <w:r>
              <w:rPr>
                <w:rFonts w:hint="eastAsia" w:ascii="宋体" w:hAnsi="宋体" w:eastAsia="宋体" w:cs="宋体"/>
                <w:color w:val="000000"/>
                <w:kern w:val="0"/>
                <w:szCs w:val="21"/>
              </w:rPr>
              <w:t>道德与法治</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围绕职业岗位和社会的需要，结合学生情感、意志、能力形成过程，帮助大学生树立正确的人生观、价值观、道德观和法制观。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6</w:t>
            </w:r>
          </w:p>
        </w:tc>
        <w:tc>
          <w:tcPr>
            <w:tcW w:w="1000" w:type="dxa"/>
            <w:vAlign w:val="center"/>
          </w:tcPr>
          <w:p>
            <w:pPr>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思想政治理论课实践教学</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立德树人，促进大学生健康成长和全面发展，引领风尚，提高大学生的思想政治素质，践行社会主义核心价值体系；承接地气，满足社会发展的需要和大学生自身的需要。</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铸牢中华民族共同体意识</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学习中国共产党把马克思主义基本原理与中国实际相结合的历史进程，充分反映马克思主义中国化的理论成果。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9</w:t>
            </w:r>
          </w:p>
          <w:p>
            <w:pPr>
              <w:snapToGrid w:val="0"/>
              <w:jc w:val="center"/>
              <w:rPr>
                <w:rFonts w:ascii="宋体" w:hAnsi="宋体" w:eastAsia="宋体" w:cs="宋体"/>
                <w:color w:val="404040"/>
                <w:szCs w:val="21"/>
                <w:shd w:val="clear" w:color="000000" w:fill="FFFFFF"/>
              </w:rPr>
            </w:pP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习近平新时代中国特色社会主义思想概论</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10</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职业发展与就业指导</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就业形势、就业政策、求职技巧、就业信息等方面内容。模拟面试演练可作为学生考评之一。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11</w:t>
            </w:r>
          </w:p>
        </w:tc>
        <w:tc>
          <w:tcPr>
            <w:tcW w:w="1000" w:type="dxa"/>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英语</w:t>
            </w:r>
          </w:p>
          <w:p>
            <w:pPr>
              <w:snapToGrid w:val="0"/>
              <w:rPr>
                <w:rFonts w:ascii="宋体" w:hAnsi="宋体" w:eastAsia="宋体" w:cs="宋体"/>
                <w:szCs w:val="21"/>
              </w:rPr>
            </w:pP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12</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信息</w:t>
            </w:r>
          </w:p>
          <w:p>
            <w:pPr>
              <w:snapToGrid w:val="0"/>
              <w:jc w:val="center"/>
              <w:rPr>
                <w:rFonts w:ascii="宋体" w:hAnsi="宋体" w:eastAsia="宋体" w:cs="宋体"/>
                <w:szCs w:val="21"/>
              </w:rPr>
            </w:pPr>
            <w:r>
              <w:rPr>
                <w:rFonts w:hint="eastAsia" w:ascii="宋体" w:hAnsi="宋体" w:eastAsia="宋体" w:cs="宋体"/>
                <w:szCs w:val="21"/>
              </w:rPr>
              <w:t>技术</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本课程包括操作系统、文字处理软件、电子表格、演示文稿、人工智能、大数据、常用剪辑软件等现代办公常用信息技术。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13</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高职实用语文</w:t>
            </w:r>
          </w:p>
        </w:tc>
        <w:tc>
          <w:tcPr>
            <w:tcW w:w="3834" w:type="dxa"/>
            <w:vAlign w:val="center"/>
          </w:tcPr>
          <w:p>
            <w:pPr>
              <w:snapToGrid w:val="0"/>
              <w:ind w:firstLine="420" w:firstLineChars="200"/>
              <w:jc w:val="left"/>
              <w:rPr>
                <w:rFonts w:ascii="宋体" w:hAnsi="宋体" w:eastAsia="宋体" w:cs="宋体"/>
                <w:szCs w:val="21"/>
                <w:lang w:val="zh-TW"/>
              </w:rPr>
            </w:pPr>
            <w:r>
              <w:rPr>
                <w:rFonts w:hint="eastAsia" w:ascii="宋体" w:hAnsi="宋体" w:eastAsia="宋体" w:cs="宋体"/>
                <w:szCs w:val="21"/>
              </w:rPr>
              <w:t>普及文学常识及中国传统文化思想，提高人文素养。</w:t>
            </w:r>
          </w:p>
        </w:tc>
        <w:tc>
          <w:tcPr>
            <w:tcW w:w="4028"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高职实用语文主要教学内容：主要作家、作品、经典篇章、文学史知识。</w:t>
            </w:r>
          </w:p>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要求：对文学史发展有比较清晰地概念，对重要作家作品有基本的了解，能够具备一定的文学知识储备和文化素养。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 w:type="dxa"/>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14</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体育与健康</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15</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数学</w:t>
            </w:r>
          </w:p>
        </w:tc>
        <w:tc>
          <w:tcPr>
            <w:tcW w:w="3834"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16</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心理健康教育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主要围绕适应能力、心理与心理健康、自我认识、网络与学习、人际交往、恋爱心理、情绪管理等内容开展专题教学活动。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17</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大学生安全</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18</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创新与创业</w:t>
            </w:r>
          </w:p>
          <w:p>
            <w:pPr>
              <w:snapToGrid w:val="0"/>
              <w:jc w:val="center"/>
              <w:rPr>
                <w:rFonts w:ascii="宋体" w:hAnsi="宋体" w:eastAsia="宋体" w:cs="宋体"/>
                <w:szCs w:val="21"/>
              </w:rPr>
            </w:pPr>
            <w:r>
              <w:rPr>
                <w:rFonts w:hint="eastAsia" w:ascii="宋体" w:hAnsi="宋体" w:eastAsia="宋体" w:cs="宋体"/>
                <w:szCs w:val="21"/>
              </w:rPr>
              <w:t>教育</w:t>
            </w:r>
          </w:p>
        </w:tc>
        <w:tc>
          <w:tcPr>
            <w:tcW w:w="3834"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能够进行创业机会识别和分析，树立科学的创新创业观，激发学生的创新创业意识，提高学生的社会责任感和创业精神，促进学生创业、就业全面发展。</w:t>
            </w:r>
          </w:p>
        </w:tc>
        <w:tc>
          <w:tcPr>
            <w:tcW w:w="4028" w:type="dxa"/>
            <w:vAlign w:val="center"/>
          </w:tcPr>
          <w:p>
            <w:pPr>
              <w:snapToGrid w:val="0"/>
              <w:ind w:firstLine="420" w:firstLineChars="200"/>
              <w:jc w:val="left"/>
              <w:rPr>
                <w:rFonts w:ascii="宋体" w:hAnsi="宋体" w:eastAsia="宋体" w:cs="宋体"/>
                <w:szCs w:val="21"/>
                <w:lang w:val="zh-TW" w:eastAsia="zh-TW"/>
              </w:rPr>
            </w:pPr>
            <w:r>
              <w:rPr>
                <w:rFonts w:hint="eastAsia" w:ascii="宋体" w:hAnsi="宋体" w:eastAsia="宋体" w:cs="宋体"/>
                <w:szCs w:val="21"/>
              </w:rPr>
              <w:t>训练创新思维，打造创业团队，识别创业机会，整合创业资源，设计商业模式，创业计划与路演展示等。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 w:type="dxa"/>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19</w:t>
            </w:r>
          </w:p>
        </w:tc>
        <w:tc>
          <w:tcPr>
            <w:tcW w:w="1000" w:type="dxa"/>
            <w:vAlign w:val="center"/>
          </w:tcPr>
          <w:p>
            <w:pPr>
              <w:snapToGrid w:val="0"/>
              <w:jc w:val="center"/>
              <w:rPr>
                <w:rFonts w:ascii="宋体" w:hAnsi="宋体" w:eastAsia="宋体" w:cs="宋体"/>
                <w:szCs w:val="21"/>
              </w:rPr>
            </w:pPr>
            <w:r>
              <w:rPr>
                <w:rFonts w:hint="eastAsia" w:ascii="宋体" w:hAnsi="宋体" w:eastAsia="宋体" w:cs="宋体"/>
                <w:szCs w:val="21"/>
              </w:rPr>
              <w:t>“四史”教育</w:t>
            </w:r>
          </w:p>
        </w:tc>
        <w:tc>
          <w:tcPr>
            <w:tcW w:w="3834" w:type="dxa"/>
            <w:vAlign w:val="center"/>
          </w:tcPr>
          <w:p>
            <w:pPr>
              <w:snapToGrid w:val="0"/>
              <w:ind w:firstLine="420" w:firstLineChars="200"/>
              <w:jc w:val="left"/>
              <w:rPr>
                <w:rFonts w:ascii="宋体" w:hAnsi="宋体" w:eastAsia="宋体" w:cs="宋体"/>
                <w:szCs w:val="21"/>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pPr>
              <w:snapToGrid w:val="0"/>
              <w:ind w:firstLine="420" w:firstLineChars="200"/>
              <w:jc w:val="left"/>
              <w:rPr>
                <w:rFonts w:ascii="宋体" w:hAnsi="宋体" w:eastAsia="宋体" w:cs="宋体"/>
                <w:szCs w:val="21"/>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pPr>
        <w:pStyle w:val="80"/>
        <w:spacing w:line="520" w:lineRule="exact"/>
        <w:ind w:firstLine="560" w:firstLineChars="200"/>
        <w:outlineLvl w:val="9"/>
        <w:rPr>
          <w:rFonts w:ascii="楷体_GB2312" w:hAnsi="楷体_GB2312" w:eastAsia="楷体_GB2312" w:cs="楷体_GB2312"/>
          <w:b w:val="0"/>
          <w:bCs/>
          <w:color w:val="000000" w:themeColor="text1"/>
          <w:sz w:val="28"/>
          <w:szCs w:val="28"/>
        </w:rPr>
      </w:pPr>
    </w:p>
    <w:p>
      <w:pPr>
        <w:pStyle w:val="80"/>
        <w:outlineLvl w:val="9"/>
        <w:rPr>
          <w:rFonts w:ascii="楷体_GB2312" w:hAnsi="楷体_GB2312" w:eastAsia="楷体_GB2312" w:cs="楷体_GB2312"/>
          <w:b w:val="0"/>
          <w:bCs/>
          <w:color w:val="000000" w:themeColor="text1"/>
          <w:sz w:val="28"/>
          <w:szCs w:val="28"/>
        </w:rPr>
      </w:pPr>
      <w:bookmarkStart w:id="29" w:name="_Toc27140"/>
      <w:bookmarkStart w:id="30" w:name="_Toc38201839"/>
      <w:bookmarkStart w:id="31" w:name="_Toc38299252"/>
      <w:r>
        <w:rPr>
          <w:rFonts w:hint="eastAsia" w:ascii="楷体_GB2312" w:hAnsi="楷体_GB2312" w:eastAsia="楷体_GB2312" w:cs="楷体_GB2312"/>
          <w:b w:val="0"/>
          <w:bCs/>
          <w:color w:val="000000" w:themeColor="text1"/>
          <w:sz w:val="28"/>
          <w:szCs w:val="28"/>
        </w:rPr>
        <w:t>（二）专业（技能）课设置</w:t>
      </w:r>
      <w:bookmarkEnd w:id="29"/>
      <w:bookmarkEnd w:id="30"/>
      <w:bookmarkEnd w:id="31"/>
    </w:p>
    <w:tbl>
      <w:tblPr>
        <w:tblStyle w:val="27"/>
        <w:tblW w:w="9614"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196"/>
        <w:gridCol w:w="3795"/>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课程名称</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课程目标</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主要教学内容与要求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02" w:type="dxa"/>
            <w:tcBorders>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植物学</w:t>
            </w:r>
          </w:p>
        </w:tc>
        <w:tc>
          <w:tcPr>
            <w:tcW w:w="3795"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本课程属专业基础课程，是升本必考科目，为学生专业课程的学习奠定基础，提高解决实际问题的能力。</w:t>
            </w:r>
          </w:p>
        </w:tc>
        <w:tc>
          <w:tcPr>
            <w:tcW w:w="4021" w:type="dxa"/>
            <w:tcBorders>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由植物解剖学；植物形态学；植物分类学三大模块组成。重点掌握解剖学与形态学部分。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植物生理学</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本课程属专业基础课程，是升本必考科目，为学生专业课程的学习奠定基础，提高解决实际问题的能力。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主要教学内容包括水分与矿质生理；光合与呼吸作用；生长与生殖生理；成熟与衰老生理；抗性生理。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土壤与肥料</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本课程属专业基础课程，是升本必考科目，为学生专业课程的学习奠定基础，提高解决实际问题的能力。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left"/>
              <w:rPr>
                <w:rFonts w:ascii="宋体" w:hAnsi="宋体" w:eastAsia="宋体" w:cs="宋体"/>
                <w:color w:val="000000" w:themeColor="text1"/>
                <w:szCs w:val="21"/>
              </w:rPr>
            </w:pPr>
            <w:r>
              <w:rPr>
                <w:rFonts w:hint="eastAsia" w:ascii="宋体" w:hAnsi="宋体" w:eastAsia="宋体" w:cs="宋体"/>
                <w:color w:val="000000" w:themeColor="text1"/>
                <w:szCs w:val="21"/>
              </w:rPr>
              <w:t>由土壤学与肥料学两部分组成，重点掌握测土配方原理与技术。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4</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设施园艺</w:t>
            </w:r>
          </w:p>
        </w:tc>
        <w:tc>
          <w:tcPr>
            <w:tcW w:w="3795"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本课程为专业核心课程，培养从事设施园艺生产的技术应用型人才为目标，达到能够熟练应用常见的园艺设施进行园艺作物的育苗与栽培、熟悉日光温室、智能温室对环境的控制技术等岗位要求。</w:t>
            </w:r>
          </w:p>
        </w:tc>
        <w:tc>
          <w:tcPr>
            <w:tcW w:w="402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现代园艺中常用设施、风障、拱棚、地膜、喷灌、滴灌、塑料大棚、日光温室、智能温室的组成、构造、技术原理、实际应用的介绍；</w:t>
            </w:r>
            <w:r>
              <w:fldChar w:fldCharType="begin"/>
            </w:r>
            <w:r>
              <w:instrText xml:space="preserve"> HYPERLINK "https://baike.so.com/doc/1949667-2063084.html" \t "https://baike.so.com/doc/_blank" </w:instrText>
            </w:r>
            <w:r>
              <w:fldChar w:fldCharType="separate"/>
            </w:r>
            <w:r>
              <w:rPr>
                <w:rFonts w:hint="eastAsia" w:ascii="宋体" w:hAnsi="宋体" w:eastAsia="宋体" w:cs="宋体"/>
                <w:color w:val="000000" w:themeColor="text1"/>
                <w:szCs w:val="21"/>
              </w:rPr>
              <w:t>无土栽培</w:t>
            </w:r>
            <w:r>
              <w:rPr>
                <w:rFonts w:hint="eastAsia" w:ascii="宋体" w:hAnsi="宋体" w:eastAsia="宋体" w:cs="宋体"/>
                <w:color w:val="000000" w:themeColor="text1"/>
                <w:szCs w:val="21"/>
              </w:rPr>
              <w:fldChar w:fldCharType="end"/>
            </w:r>
            <w:r>
              <w:rPr>
                <w:rFonts w:hint="eastAsia" w:ascii="宋体" w:hAnsi="宋体" w:eastAsia="宋体" w:cs="宋体"/>
                <w:color w:val="000000" w:themeColor="text1"/>
                <w:szCs w:val="21"/>
              </w:rPr>
              <w:t>技术、立体栽培技术、再生栽培技术、水肥一体技术的应用；大棚、温室中园艺作物的实生苗育苗、嫁接育苗、扦插育苗等技术；设施内温、光、湿、气及土壤条件的综合调控技术及应用。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5</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花卉生产技术</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使学生掌握花卉生产的知识和技能，具备花卉生产、养护和应用能力，同时具备考取中级花卉工职业资格证书的能力，为今后的就业打下一定的专业基础。</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根据花卉物候期即生长周期中的苗期、营养生长期、开花期、休眠期等4个主要的物候期，确定了育苗、土肥水管理、植株调整、病虫害防治、花期管理和花卉应用等6个典型工作任务，使学生掌握与之相对应的花卉的识别、播种、扦插、分株、嫁接、植株调整、花期控制、施肥、浇水、环境调控等技能。可按照不同的花卉类型进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6</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果树生产技术</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使学生掌握北方地区常见果树栽培的知识和技能，同时为考取园艺果树工职业技术等级证书打下坚实的专业基础，培养学生具有因地制宜引种驯化新品种、新作物的技术能力。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学习果树的生物学特性、育苗技术、栽培管理、建园等技术；果树的分类；仁果类、核果类、浆果类典型代表树种的栽培管理技术。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7</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蔬菜生产技术</w:t>
            </w:r>
          </w:p>
        </w:tc>
        <w:tc>
          <w:tcPr>
            <w:tcW w:w="3795"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使学生掌握蔬菜栽培必需的理论和技能，并熟悉和掌握蔬菜生产上推广应用的新技术、新品种，同时具有考取园艺蔬菜工职业资格证书的基础，为毕业后从事蔬菜栽培生产和管理奠定基础。</w:t>
            </w:r>
          </w:p>
        </w:tc>
        <w:tc>
          <w:tcPr>
            <w:tcW w:w="402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该课程内容丰富，包括有蔬菜的种类与识别；各类蔬菜陆地、保护地生产技术；各类蔬菜的采后处理；常见病虫害防治技术。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8</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color w:val="000000" w:themeColor="text1"/>
                <w:szCs w:val="21"/>
              </w:rPr>
            </w:pPr>
            <w:r>
              <w:rPr>
                <w:rFonts w:hint="eastAsia" w:ascii="宋体" w:hAnsi="宋体" w:eastAsia="宋体" w:cs="宋体"/>
                <w:color w:val="000000" w:themeColor="text1"/>
                <w:szCs w:val="21"/>
              </w:rPr>
              <w:t>植物组织培养技术</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熟知植物组织培养技术在园艺作物生产中的应用，学会论文期刊的文献检索，掌握植物组织培养相关理论知识并能熟练进行选外植体、培养基的配制、愈伤组织、器官离体培养。培养学生采集信息、整理资料、分析与解决问题的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该课程是一门科技含量较高、应用范围较广的实用技术，在现代农业中经常应用于脱毒苗的繁育、苗木快繁的工厂化生产。课程内容包括：培养基的制备、外植体的选择处理、外植体接种、初代培养、继代培养、生根培养、壮苗培养、植物脱毒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9</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插花与花艺设计</w:t>
            </w:r>
          </w:p>
        </w:tc>
        <w:tc>
          <w:tcPr>
            <w:tcW w:w="3795" w:type="dxa"/>
            <w:tcBorders>
              <w:top w:val="single" w:color="auto" w:sz="4" w:space="0"/>
              <w:left w:val="single" w:color="auto" w:sz="4" w:space="0"/>
              <w:bottom w:val="single" w:color="auto" w:sz="4" w:space="0"/>
              <w:right w:val="single" w:color="auto" w:sz="4" w:space="0"/>
            </w:tcBorders>
          </w:tcPr>
          <w:p>
            <w:pPr>
              <w:snapToGrid w:val="0"/>
              <w:ind w:firstLine="420" w:firstLineChars="200"/>
              <w:rPr>
                <w:rFonts w:ascii="宋体" w:hAnsi="宋体" w:eastAsia="宋体" w:cs="宋体"/>
                <w:color w:val="000000" w:themeColor="text1"/>
                <w:szCs w:val="21"/>
              </w:rPr>
            </w:pPr>
            <w:r>
              <w:rPr>
                <w:rFonts w:ascii="宋体" w:hAnsi="宋体" w:eastAsia="宋体" w:cs="宋体"/>
                <w:color w:val="000000" w:themeColor="text1"/>
                <w:szCs w:val="21"/>
              </w:rPr>
              <w:t>在教学过程中，强化学生职业能力和素质的培养，充分体现技能培训和社会实践相结合的学习模式。通过本课程系统的学习，培养学生具有插花与花艺设计扎实的理论基础知识，能熟练插作东西方各种不同花型，能熟练插作各种礼仪插花、庆典插花、装饰插花等，并培养学生具有自我发展、创作高水平创意插花的能力。同时注重培养学生具有良好的职业素质，为</w:t>
            </w:r>
            <w:r>
              <w:rPr>
                <w:rFonts w:hint="eastAsia" w:ascii="宋体" w:hAnsi="宋体" w:eastAsia="宋体" w:cs="宋体"/>
                <w:color w:val="000000" w:themeColor="text1"/>
                <w:szCs w:val="21"/>
              </w:rPr>
              <w:t>花艺技能大赛提供可选拔的人才，为</w:t>
            </w:r>
            <w:r>
              <w:rPr>
                <w:rFonts w:ascii="宋体" w:hAnsi="宋体" w:eastAsia="宋体" w:cs="宋体"/>
                <w:color w:val="000000" w:themeColor="text1"/>
                <w:szCs w:val="21"/>
              </w:rPr>
              <w:t>学生毕业后</w:t>
            </w:r>
            <w:r>
              <w:rPr>
                <w:rFonts w:hint="eastAsia" w:ascii="宋体" w:hAnsi="宋体" w:eastAsia="宋体" w:cs="宋体"/>
                <w:color w:val="000000" w:themeColor="text1"/>
                <w:szCs w:val="21"/>
              </w:rPr>
              <w:t>从事</w:t>
            </w:r>
            <w:r>
              <w:rPr>
                <w:rFonts w:ascii="宋体" w:hAnsi="宋体" w:eastAsia="宋体" w:cs="宋体"/>
                <w:color w:val="000000" w:themeColor="text1"/>
                <w:szCs w:val="21"/>
              </w:rPr>
              <w:t>插花与花艺设计岗工作打下坚实基础，最终实现在花艺行业的零距离就业。</w:t>
            </w:r>
          </w:p>
        </w:tc>
        <w:tc>
          <w:tcPr>
            <w:tcW w:w="4021" w:type="dxa"/>
            <w:tcBorders>
              <w:top w:val="single" w:color="auto" w:sz="4" w:space="0"/>
              <w:left w:val="single" w:color="auto" w:sz="4" w:space="0"/>
              <w:bottom w:val="single" w:color="auto" w:sz="4" w:space="0"/>
              <w:right w:val="single" w:color="auto" w:sz="4" w:space="0"/>
            </w:tcBorders>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根据学生学习特点，将整个课程内容大致划分为三个部分，一是插花艺术基本概论和基础理论；二是传统东西方插花的制作；三是现代插花表现技巧与制作；三个部分循序渐进，层层深入，以引导开展教学内容。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10</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园艺植物病虫害防治</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本课程为专业核心课程，课程目标为将学生培养成为精通植保技术的一线生产者。</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1）掌握农业昆虫识别基本知识；（2）掌握植物病害诊断基本知识；（3）了解植物病虫害的综合防治要点和各种防治方法；（4）熟悉当地主要作物病害发生规律及特点。通过学习本课程，应具备以下能力：（1）能正确识别植物主要作物病虫害种类；（2）在田间能正确诊断作物主要几大类病原的病害；（3）掌握植物病虫害的调查统计方法和病虫害防治适期；（4）掌握安全、合理使用农药的技术；（5）基本具有对当地植物主要病虫进行综合防治的能力；（6）初步具有综合分析问题和解决生产实际问题的能力，注意提高学生的全面素质和综合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602" w:type="dxa"/>
            <w:tcBorders>
              <w:top w:val="single" w:color="auto" w:sz="4" w:space="0"/>
              <w:left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11</w:t>
            </w:r>
          </w:p>
        </w:tc>
        <w:tc>
          <w:tcPr>
            <w:tcW w:w="1196" w:type="dxa"/>
            <w:tcBorders>
              <w:top w:val="single" w:color="auto" w:sz="4" w:space="0"/>
              <w:left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景观园艺</w:t>
            </w:r>
          </w:p>
        </w:tc>
        <w:tc>
          <w:tcPr>
            <w:tcW w:w="3795" w:type="dxa"/>
            <w:tcBorders>
              <w:top w:val="single" w:color="auto" w:sz="4" w:space="0"/>
              <w:left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ascii="宋体" w:hAnsi="宋体" w:eastAsia="宋体" w:cs="宋体"/>
                <w:color w:val="000000" w:themeColor="text1"/>
                <w:szCs w:val="21"/>
              </w:rPr>
              <w:t>通过学习，使学生了解植物种植设计的基本概念，理解植物种植设计的基本原理和基本方法；掌握不用类型植物的种植设计；合理的选择园林植物，在不同的环境中布置以及绘制空间合理、景观合宜的各类植物种植类型。</w:t>
            </w:r>
          </w:p>
        </w:tc>
        <w:tc>
          <w:tcPr>
            <w:tcW w:w="4021" w:type="dxa"/>
            <w:tcBorders>
              <w:top w:val="single" w:color="auto" w:sz="4" w:space="0"/>
              <w:left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课程内容：园林植物种植设计、植物的选择、园林花卉种植设计、草坪植物种植设计、水景植物种植设计、园路植物种植设计、建筑环境植物种植设计。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12</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sz w:val="24"/>
                <w:szCs w:val="24"/>
              </w:rPr>
              <w:t>园艺产品储藏与加工</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通过授课使学生了解、学习和掌握园艺产品贮藏加工的基本理论及实用技术，为将来走向园艺产品运输、储藏工作岗位提供技术支持。</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本课程分为贮藏部分和加工部分。贮藏部分主要包括园艺产品贮藏保鲜基础知识，园艺产品采后商品化处理及运输，园艺产品贮藏方式及主要果品及蔬菜花卉的贮藏等。加工部分包括园艺产品加工保藏基础，加工前预处理，园艺产品加工技术以及其他加工保藏的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13</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园艺植物育种</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通过对遗传学相关理论的学习，使学生学会园艺植物育种的相关工作，为毕业后走向作物育种等工作岗位打下一定的基础。</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本课程内容包括两部分即遗传学和育种学，遗传学部分为理论部分，主要学习细胞分裂、遗传物质与基因表达、遗传三大定律、细胞质遗传等知识。育种学部分为实训部分，主要学习选择杂交育种过程中，套袋、授粉、杂交、自交、性状记录与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r>
              <w:rPr>
                <w:rFonts w:hint="eastAsia" w:ascii="宋体" w:hAnsi="宋体" w:eastAsia="宋体" w:cs="宋体"/>
                <w:color w:val="000000" w:themeColor="text1"/>
                <w:szCs w:val="21"/>
              </w:rPr>
              <w:t>14</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园艺机械与设施</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通过对园艺生产中经常使用的器械与设施参数性能及使用方法的学习，培养学生具备从事园艺现代化生产的基本职业能力。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该课程主要学习栽培器械、植保器械、修剪器械、园艺产品加工器械、温室及其环境控制系统的使用。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bookmarkStart w:id="32" w:name="_Toc38299253"/>
            <w:bookmarkStart w:id="33" w:name="_Toc38201840"/>
            <w:r>
              <w:rPr>
                <w:rFonts w:hint="eastAsia" w:ascii="宋体" w:hAnsi="宋体" w:eastAsia="宋体" w:cs="宋体"/>
                <w:color w:val="000000" w:themeColor="text1"/>
                <w:szCs w:val="21"/>
              </w:rPr>
              <w:t>15</w:t>
            </w: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草坪建植与养护</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通过本课程学习，让学生掌握草坪建植与养护过程中的相关知识，使学生学会识别草坪草、根据不同草坪需要选择草坪草、场地清理、土壤质地改良、土壤盐碱改良、灌溉设施铺设、播种法建坪、营养繁殖法建坪、草坪施肥、草坪修剪等工作，培养学生解决实际问题的基本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该课程主要学习草坪草的识别、草坪草选择、场地清理、土壤质地改良、土壤盐碱改良、灌溉设施铺设、播种法建坪、营养繁殖法建坪、草坪施肥、草坪修剪等。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color w:val="000000" w:themeColor="text1"/>
                <w:szCs w:val="21"/>
              </w:rPr>
            </w:pPr>
          </w:p>
        </w:tc>
        <w:tc>
          <w:tcPr>
            <w:tcW w:w="1196"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color w:val="000000" w:themeColor="text1"/>
                <w:szCs w:val="21"/>
              </w:rPr>
            </w:pPr>
            <w:r>
              <w:rPr>
                <w:rFonts w:hint="eastAsia" w:ascii="宋体" w:hAnsi="宋体" w:eastAsia="宋体" w:cs="宋体"/>
                <w:color w:val="000000" w:themeColor="text1"/>
                <w:szCs w:val="21"/>
              </w:rPr>
              <w:t>园艺产品营销</w:t>
            </w:r>
          </w:p>
        </w:tc>
        <w:tc>
          <w:tcPr>
            <w:tcW w:w="3795"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eastAsia="宋体" w:cs="宋体"/>
                <w:color w:val="000000" w:themeColor="text1"/>
                <w:szCs w:val="21"/>
              </w:rPr>
            </w:pPr>
            <w:r>
              <w:rPr>
                <w:rFonts w:hint="eastAsia" w:ascii="宋体" w:hAnsi="宋体" w:eastAsia="宋体" w:cs="宋体"/>
                <w:color w:val="000000" w:themeColor="text1"/>
                <w:szCs w:val="21"/>
              </w:rPr>
              <w:t>本课程通过采购谈判、合同订立、网上销售、园艺产品销售、采购、配送以及处理客户异议等项目活动，使学生熟悉园艺产品采购的一般流程，能进行网上交易操作，熟悉销售流程、选择正确配送方式，达到农业产业化经营者四级职业标准的相关要求。在完成活动任务的过程中，树立服务营销的理念，培养学生诚实、守信、合作的职业道德和品质，在此基础上形成以下职业能力。</w:t>
            </w:r>
          </w:p>
        </w:tc>
        <w:tc>
          <w:tcPr>
            <w:tcW w:w="4021"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jc w:val="left"/>
              <w:rPr>
                <w:rFonts w:ascii="宋体" w:hAnsi="宋体" w:eastAsia="宋体" w:cs="宋体"/>
                <w:color w:val="000000" w:themeColor="text1"/>
                <w:szCs w:val="21"/>
              </w:rPr>
            </w:pPr>
            <w:r>
              <w:rPr>
                <w:rFonts w:hint="eastAsia" w:ascii="宋体" w:hAnsi="宋体" w:eastAsia="宋体" w:cs="宋体"/>
                <w:color w:val="000000" w:themeColor="text1"/>
                <w:szCs w:val="21"/>
              </w:rPr>
              <w:t>该课程包括园艺产品采购、园艺产品配送与销售、园艺产品售后服务三个方面。</w:t>
            </w:r>
          </w:p>
        </w:tc>
      </w:tr>
    </w:tbl>
    <w:p>
      <w:pPr>
        <w:rPr>
          <w:rFonts w:ascii="黑体" w:hAnsi="黑体" w:eastAsia="黑体" w:cs="黑体"/>
          <w:bCs/>
          <w:color w:val="000000" w:themeColor="text1"/>
          <w:sz w:val="30"/>
          <w:szCs w:val="30"/>
        </w:rPr>
      </w:pPr>
      <w:bookmarkStart w:id="34" w:name="_Toc16060"/>
    </w:p>
    <w:p>
      <w:pPr>
        <w:ind w:firstLine="600" w:firstLineChars="200"/>
        <w:rPr>
          <w:rFonts w:ascii="黑体" w:hAnsi="黑体" w:eastAsia="黑体" w:cs="黑体"/>
          <w:bCs/>
          <w:color w:val="000000" w:themeColor="text1"/>
          <w:sz w:val="30"/>
          <w:szCs w:val="30"/>
        </w:rPr>
      </w:pPr>
      <w:r>
        <w:rPr>
          <w:rFonts w:hint="eastAsia" w:ascii="黑体" w:hAnsi="黑体" w:eastAsia="黑体" w:cs="黑体"/>
          <w:bCs/>
          <w:color w:val="000000" w:themeColor="text1"/>
          <w:sz w:val="30"/>
          <w:szCs w:val="30"/>
        </w:rPr>
        <w:t>七、教学进程总体安排</w:t>
      </w:r>
      <w:bookmarkEnd w:id="34"/>
    </w:p>
    <w:p>
      <w:pPr>
        <w:pStyle w:val="84"/>
        <w:spacing w:line="560" w:lineRule="exact"/>
        <w:outlineLvl w:val="1"/>
        <w:rPr>
          <w:rFonts w:ascii="楷体_GB2312" w:hAnsi="楷体_GB2312" w:eastAsia="楷体_GB2312" w:cs="楷体_GB2312"/>
          <w:b w:val="0"/>
          <w:bCs/>
          <w:color w:val="000000" w:themeColor="text1"/>
          <w:sz w:val="30"/>
          <w:szCs w:val="30"/>
        </w:rPr>
      </w:pPr>
      <w:bookmarkStart w:id="35" w:name="_Toc18477"/>
      <w:r>
        <w:rPr>
          <w:rFonts w:hint="eastAsia" w:ascii="楷体_GB2312" w:hAnsi="楷体_GB2312" w:eastAsia="楷体_GB2312" w:cs="楷体_GB2312"/>
          <w:b w:val="0"/>
          <w:bCs/>
          <w:color w:val="000000" w:themeColor="text1"/>
          <w:sz w:val="30"/>
          <w:szCs w:val="30"/>
        </w:rPr>
        <w:t>（一）教育教学时间安排表</w:t>
      </w:r>
      <w:bookmarkEnd w:id="35"/>
    </w:p>
    <w:tbl>
      <w:tblPr>
        <w:tblStyle w:val="27"/>
        <w:tblW w:w="879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30"/>
        <w:gridCol w:w="916"/>
        <w:gridCol w:w="916"/>
        <w:gridCol w:w="916"/>
        <w:gridCol w:w="916"/>
        <w:gridCol w:w="91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教育教学活动</w:t>
            </w:r>
          </w:p>
        </w:tc>
        <w:tc>
          <w:tcPr>
            <w:tcW w:w="5762" w:type="dxa"/>
            <w:gridSpan w:val="6"/>
            <w:tcBorders>
              <w:top w:val="single" w:color="000000" w:sz="4" w:space="0"/>
              <w:left w:val="single" w:color="auto" w:sz="4" w:space="0"/>
              <w:bottom w:val="single" w:color="000000" w:sz="4" w:space="0"/>
              <w:right w:val="single" w:color="000000" w:sz="4" w:space="0"/>
            </w:tcBorders>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b/>
                <w:color w:val="000000" w:themeColor="text1"/>
                <w:sz w:val="24"/>
                <w:szCs w:val="24"/>
              </w:rPr>
            </w:pP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一</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二</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三</w:t>
            </w:r>
          </w:p>
        </w:tc>
        <w:tc>
          <w:tcPr>
            <w:tcW w:w="916"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四</w:t>
            </w:r>
          </w:p>
        </w:tc>
        <w:tc>
          <w:tcPr>
            <w:tcW w:w="91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五</w:t>
            </w:r>
          </w:p>
        </w:tc>
        <w:tc>
          <w:tcPr>
            <w:tcW w:w="1179"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课程教学（理论、实践）</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16</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18</w:t>
            </w:r>
          </w:p>
        </w:tc>
        <w:tc>
          <w:tcPr>
            <w:tcW w:w="916"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18</w:t>
            </w:r>
          </w:p>
        </w:tc>
        <w:tc>
          <w:tcPr>
            <w:tcW w:w="91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18</w:t>
            </w:r>
          </w:p>
        </w:tc>
        <w:tc>
          <w:tcPr>
            <w:tcW w:w="1179" w:type="dxa"/>
            <w:vMerge w:val="restart"/>
            <w:tcBorders>
              <w:top w:val="single" w:color="auto" w:sz="4" w:space="0"/>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阶段性实践教学</w:t>
            </w: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rPr>
            </w:pPr>
          </w:p>
        </w:tc>
        <w:tc>
          <w:tcPr>
            <w:tcW w:w="916" w:type="dxa"/>
            <w:vMerge w:val="continue"/>
            <w:tcBorders>
              <w:left w:val="single" w:color="auto" w:sz="4" w:space="0"/>
              <w:right w:val="single" w:color="auto" w:sz="4" w:space="0"/>
            </w:tcBorders>
            <w:vAlign w:val="center"/>
          </w:tcPr>
          <w:p>
            <w:pPr>
              <w:spacing w:line="360" w:lineRule="auto"/>
              <w:rPr>
                <w:rFonts w:ascii="仿宋_GB2312" w:hAnsi="仿宋_GB2312" w:eastAsia="仿宋_GB2312" w:cs="仿宋_GB2312"/>
                <w:color w:val="000000" w:themeColor="text1"/>
                <w:sz w:val="24"/>
                <w:szCs w:val="24"/>
              </w:rPr>
            </w:pPr>
          </w:p>
        </w:tc>
        <w:tc>
          <w:tcPr>
            <w:tcW w:w="919" w:type="dxa"/>
            <w:vMerge w:val="continue"/>
            <w:tcBorders>
              <w:left w:val="single" w:color="auto" w:sz="4" w:space="0"/>
              <w:right w:val="single" w:color="auto" w:sz="4" w:space="0"/>
            </w:tcBorders>
          </w:tcPr>
          <w:p>
            <w:pPr>
              <w:spacing w:line="360" w:lineRule="auto"/>
              <w:rPr>
                <w:rFonts w:ascii="仿宋_GB2312" w:hAnsi="仿宋_GB2312" w:eastAsia="仿宋_GB2312" w:cs="仿宋_GB2312"/>
                <w:color w:val="000000" w:themeColor="text1"/>
                <w:sz w:val="24"/>
                <w:szCs w:val="24"/>
              </w:rPr>
            </w:pPr>
          </w:p>
        </w:tc>
        <w:tc>
          <w:tcPr>
            <w:tcW w:w="1179" w:type="dxa"/>
            <w:vMerge w:val="continue"/>
            <w:tcBorders>
              <w:left w:val="single" w:color="auto" w:sz="4" w:space="0"/>
              <w:right w:val="single" w:color="000000" w:sz="4" w:space="0"/>
            </w:tcBorders>
          </w:tcPr>
          <w:p>
            <w:pPr>
              <w:spacing w:line="360" w:lineRule="auto"/>
              <w:rPr>
                <w:rFonts w:ascii="仿宋_GB2312" w:hAnsi="仿宋_GB2312"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职业技能培训及技能鉴定</w:t>
            </w: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p>
        </w:tc>
        <w:tc>
          <w:tcPr>
            <w:tcW w:w="916"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p>
        </w:tc>
        <w:tc>
          <w:tcPr>
            <w:tcW w:w="919" w:type="dxa"/>
            <w:vMerge w:val="continue"/>
            <w:tcBorders>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复习与考试</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6"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1179" w:type="dxa"/>
            <w:vMerge w:val="continue"/>
            <w:tcBorders>
              <w:left w:val="single" w:color="auto" w:sz="4" w:space="0"/>
              <w:right w:val="single" w:color="000000" w:sz="4" w:space="0"/>
            </w:tcBorders>
          </w:tcPr>
          <w:p>
            <w:pPr>
              <w:spacing w:line="360" w:lineRule="auto"/>
              <w:jc w:val="center"/>
              <w:rPr>
                <w:rFonts w:ascii="仿宋_GB2312" w:hAnsi="仿宋_GB2312"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30" w:type="dxa"/>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劳动实践/机动</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w:t>
            </w: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军训（入学教育）</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3</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顶岗实习</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1179" w:type="dxa"/>
            <w:vMerge w:val="continue"/>
            <w:tcBorders>
              <w:left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3030" w:type="dxa"/>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合         计</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20</w:t>
            </w:r>
          </w:p>
        </w:tc>
        <w:tc>
          <w:tcPr>
            <w:tcW w:w="916"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20</w:t>
            </w:r>
          </w:p>
        </w:tc>
        <w:tc>
          <w:tcPr>
            <w:tcW w:w="919"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20</w:t>
            </w:r>
          </w:p>
        </w:tc>
        <w:tc>
          <w:tcPr>
            <w:tcW w:w="1179" w:type="dxa"/>
            <w:vMerge w:val="continue"/>
            <w:tcBorders>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p>
        </w:tc>
      </w:tr>
    </w:tbl>
    <w:p>
      <w:pPr>
        <w:pStyle w:val="84"/>
        <w:spacing w:line="560" w:lineRule="exact"/>
        <w:outlineLvl w:val="1"/>
        <w:rPr>
          <w:rFonts w:ascii="楷体_GB2312" w:hAnsi="楷体_GB2312" w:eastAsia="楷体_GB2312" w:cs="楷体_GB2312"/>
          <w:b w:val="0"/>
          <w:bCs/>
          <w:color w:val="000000" w:themeColor="text1"/>
          <w:sz w:val="32"/>
          <w:szCs w:val="32"/>
        </w:rPr>
      </w:pPr>
      <w:bookmarkStart w:id="36" w:name="_Toc20608"/>
      <w:r>
        <w:rPr>
          <w:rFonts w:hint="eastAsia" w:ascii="楷体_GB2312" w:hAnsi="楷体_GB2312" w:eastAsia="楷体_GB2312" w:cs="楷体_GB2312"/>
          <w:b w:val="0"/>
          <w:bCs/>
          <w:color w:val="000000" w:themeColor="text1"/>
          <w:sz w:val="30"/>
          <w:szCs w:val="30"/>
        </w:rPr>
        <w:t>（二）理论与实践教学学时分配表</w:t>
      </w:r>
      <w:bookmarkEnd w:id="36"/>
    </w:p>
    <w:tbl>
      <w:tblPr>
        <w:tblStyle w:val="27"/>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1795"/>
        <w:gridCol w:w="992"/>
        <w:gridCol w:w="1417"/>
        <w:gridCol w:w="1134"/>
        <w:gridCol w:w="1132"/>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276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课  程  分  类</w:t>
            </w:r>
          </w:p>
        </w:tc>
        <w:tc>
          <w:tcPr>
            <w:tcW w:w="992" w:type="dxa"/>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总学时</w:t>
            </w:r>
          </w:p>
        </w:tc>
        <w:tc>
          <w:tcPr>
            <w:tcW w:w="2551"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理  论  教  学</w:t>
            </w:r>
          </w:p>
        </w:tc>
        <w:tc>
          <w:tcPr>
            <w:tcW w:w="2425" w:type="dxa"/>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2764"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rPr>
            </w:pP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仿宋_GB2312" w:hAnsi="仿宋_GB2312" w:eastAsia="仿宋_GB2312" w:cs="仿宋_GB2312"/>
                <w:b/>
                <w:color w:val="000000" w:themeColor="text1"/>
                <w:sz w:val="24"/>
                <w:szCs w:val="24"/>
              </w:rPr>
            </w:pPr>
          </w:p>
        </w:tc>
        <w:tc>
          <w:tcPr>
            <w:tcW w:w="1417"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学 时</w:t>
            </w:r>
          </w:p>
        </w:tc>
        <w:tc>
          <w:tcPr>
            <w:tcW w:w="1134"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学时比例%</w:t>
            </w:r>
          </w:p>
        </w:tc>
        <w:tc>
          <w:tcPr>
            <w:tcW w:w="1132"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学 时</w:t>
            </w:r>
          </w:p>
        </w:tc>
        <w:tc>
          <w:tcPr>
            <w:tcW w:w="1293"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b/>
                <w:color w:val="000000" w:themeColor="text1"/>
                <w:sz w:val="24"/>
                <w:szCs w:val="24"/>
              </w:rPr>
            </w:pPr>
            <w:r>
              <w:rPr>
                <w:rFonts w:hint="eastAsia" w:ascii="仿宋_GB2312" w:hAnsi="仿宋_GB2312" w:eastAsia="仿宋_GB2312" w:cs="仿宋_GB2312"/>
                <w:b/>
                <w:color w:val="000000" w:themeColor="text1"/>
                <w:sz w:val="24"/>
                <w:szCs w:val="24"/>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969"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必</w:t>
            </w:r>
          </w:p>
          <w:p>
            <w:pPr>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修</w:t>
            </w:r>
          </w:p>
          <w:p>
            <w:pPr>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702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403</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57.4%</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272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仿宋_GB2312" w:hAnsi="仿宋_GB2312" w:eastAsia="仿宋_GB2312" w:cs="仿宋_GB2312"/>
                <w:color w:val="000000" w:themeColor="text1"/>
                <w:sz w:val="24"/>
                <w:szCs w:val="24"/>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宋体" w:cs="宋体"/>
                <w:color w:val="000000" w:themeColor="text1"/>
                <w:kern w:val="0"/>
                <w:szCs w:val="21"/>
              </w:rPr>
            </w:pPr>
            <w:r>
              <w:rPr>
                <w:rFonts w:hint="eastAsia" w:ascii="Times New Roman" w:hAnsi="Times New Roman" w:eastAsia="宋体" w:cs="宋体"/>
                <w:color w:val="000000"/>
                <w:kern w:val="0"/>
                <w:sz w:val="22"/>
              </w:rPr>
              <w:t>1872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themeColor="text1"/>
                <w:kern w:val="0"/>
                <w:szCs w:val="21"/>
              </w:rPr>
            </w:pPr>
            <w:r>
              <w:rPr>
                <w:rFonts w:hint="eastAsia" w:ascii="Times New Roman" w:hAnsi="Times New Roman" w:eastAsia="宋体" w:cs="宋体"/>
                <w:color w:val="000000"/>
                <w:kern w:val="0"/>
                <w:sz w:val="22"/>
              </w:rPr>
              <w:t>586</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31.3%</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宋体" w:cs="宋体"/>
                <w:color w:val="000000"/>
                <w:kern w:val="0"/>
                <w:sz w:val="22"/>
              </w:rPr>
              <w:t>1266</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9" w:type="dxa"/>
            <w:vMerge w:val="restart"/>
            <w:tcBorders>
              <w:top w:val="single" w:color="auto"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选</w:t>
            </w:r>
          </w:p>
          <w:p>
            <w:pPr>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修</w:t>
            </w:r>
          </w:p>
          <w:p>
            <w:pPr>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课</w:t>
            </w: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公共基础课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96</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64</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66.7%</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32</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color w:val="000000" w:themeColor="text1"/>
                <w:sz w:val="24"/>
                <w:szCs w:val="24"/>
              </w:rPr>
            </w:pPr>
          </w:p>
        </w:tc>
        <w:tc>
          <w:tcPr>
            <w:tcW w:w="1795" w:type="dxa"/>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专业（技能）课</w:t>
            </w:r>
          </w:p>
        </w:tc>
        <w:tc>
          <w:tcPr>
            <w:tcW w:w="992" w:type="dxa"/>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192</w:t>
            </w:r>
          </w:p>
        </w:tc>
        <w:tc>
          <w:tcPr>
            <w:tcW w:w="1417"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96</w:t>
            </w:r>
          </w:p>
        </w:tc>
        <w:tc>
          <w:tcPr>
            <w:tcW w:w="1134"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50%</w:t>
            </w:r>
          </w:p>
        </w:tc>
        <w:tc>
          <w:tcPr>
            <w:tcW w:w="1132"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96</w:t>
            </w:r>
          </w:p>
        </w:tc>
        <w:tc>
          <w:tcPr>
            <w:tcW w:w="12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宋体" w:cs="宋体"/>
                <w:color w:val="000000"/>
                <w:kern w:val="0"/>
                <w:sz w:val="22"/>
              </w:rPr>
            </w:pPr>
            <w:r>
              <w:rPr>
                <w:rFonts w:hint="eastAsia" w:ascii="Times New Roman" w:hAnsi="Times New Roman" w:eastAsia="宋体" w:cs="宋体"/>
                <w:color w:val="000000"/>
                <w:kern w:val="0"/>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合         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宋体" w:cs="宋体"/>
                <w:color w:val="000000"/>
                <w:sz w:val="22"/>
              </w:rPr>
            </w:pPr>
            <w:r>
              <w:rPr>
                <w:rFonts w:hint="eastAsia" w:ascii="Times New Roman" w:hAnsi="Times New Roman" w:eastAsia="宋体" w:cs="宋体"/>
                <w:color w:val="000000"/>
                <w:kern w:val="0"/>
                <w:sz w:val="22"/>
              </w:rPr>
              <w:t>2862</w:t>
            </w:r>
          </w:p>
        </w:tc>
        <w:tc>
          <w:tcPr>
            <w:tcW w:w="1417"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宋体" w:cs="宋体"/>
                <w:color w:val="000000"/>
                <w:sz w:val="22"/>
              </w:rPr>
            </w:pPr>
            <w:r>
              <w:rPr>
                <w:rFonts w:hint="eastAsia" w:ascii="Times New Roman" w:hAnsi="Times New Roman" w:eastAsia="宋体" w:cs="宋体"/>
                <w:color w:val="000000"/>
                <w:kern w:val="0"/>
                <w:sz w:val="22"/>
              </w:rPr>
              <w:t>1176</w:t>
            </w:r>
          </w:p>
        </w:tc>
        <w:tc>
          <w:tcPr>
            <w:tcW w:w="113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宋体" w:cs="宋体"/>
                <w:color w:val="000000"/>
                <w:sz w:val="22"/>
              </w:rPr>
            </w:pPr>
            <w:r>
              <w:rPr>
                <w:rFonts w:hint="eastAsia" w:ascii="Times New Roman" w:hAnsi="Times New Roman" w:eastAsia="宋体" w:cs="宋体"/>
                <w:color w:val="000000"/>
                <w:sz w:val="22"/>
              </w:rPr>
              <w:t>41.09%</w:t>
            </w:r>
          </w:p>
        </w:tc>
        <w:tc>
          <w:tcPr>
            <w:tcW w:w="1132"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宋体" w:cs="宋体"/>
                <w:color w:val="000000"/>
                <w:kern w:val="0"/>
                <w:sz w:val="22"/>
              </w:rPr>
              <w:t>1666</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58.91%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公共基础课总学时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702</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kern w:val="0"/>
                <w:sz w:val="24"/>
                <w:szCs w:val="24"/>
              </w:rPr>
              <w:t>公共基础课学时比例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764" w:type="dxa"/>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选修课教学总学时</w:t>
            </w:r>
          </w:p>
        </w:tc>
        <w:tc>
          <w:tcPr>
            <w:tcW w:w="2409"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288</w:t>
            </w:r>
          </w:p>
        </w:tc>
        <w:tc>
          <w:tcPr>
            <w:tcW w:w="2266" w:type="dxa"/>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kern w:val="0"/>
                <w:sz w:val="24"/>
                <w:szCs w:val="24"/>
              </w:rPr>
              <w:t>选修课教学学时比例</w:t>
            </w:r>
          </w:p>
        </w:tc>
        <w:tc>
          <w:tcPr>
            <w:tcW w:w="1293"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10.06%</w:t>
            </w:r>
          </w:p>
        </w:tc>
      </w:tr>
    </w:tbl>
    <w:p>
      <w:pPr>
        <w:spacing w:line="360" w:lineRule="auto"/>
        <w:ind w:firstLine="422"/>
        <w:jc w:val="center"/>
        <w:rPr>
          <w:rFonts w:ascii="宋体" w:hAnsi="宋体"/>
          <w:b/>
          <w:color w:val="000000" w:themeColor="text1"/>
        </w:rPr>
        <w:sectPr>
          <w:footerReference r:id="rId4" w:type="default"/>
          <w:pgSz w:w="11906" w:h="16838"/>
          <w:pgMar w:top="2098" w:right="1474" w:bottom="1984" w:left="1587" w:header="851" w:footer="992" w:gutter="0"/>
          <w:cols w:space="720" w:num="1"/>
          <w:docGrid w:type="lines" w:linePitch="312" w:charSpace="0"/>
        </w:sectPr>
      </w:pPr>
    </w:p>
    <w:p>
      <w:pPr>
        <w:pStyle w:val="84"/>
        <w:outlineLvl w:val="1"/>
        <w:rPr>
          <w:rFonts w:ascii="楷体_GB2312" w:hAnsi="楷体_GB2312" w:eastAsia="楷体_GB2312" w:cs="楷体_GB2312"/>
          <w:b w:val="0"/>
          <w:bCs/>
          <w:color w:val="000000" w:themeColor="text1"/>
          <w:sz w:val="28"/>
          <w:szCs w:val="28"/>
        </w:rPr>
      </w:pPr>
      <w:bookmarkStart w:id="37" w:name="_Toc22338"/>
      <w:r>
        <w:rPr>
          <w:rFonts w:hint="eastAsia" w:ascii="楷体_GB2312" w:hAnsi="楷体_GB2312" w:eastAsia="楷体_GB2312" w:cs="楷体_GB2312"/>
          <w:b w:val="0"/>
          <w:bCs/>
          <w:color w:val="000000" w:themeColor="text1"/>
          <w:sz w:val="28"/>
          <w:szCs w:val="28"/>
        </w:rPr>
        <w:t>（三）教学进度安排计划表----必修课程设置及学分、学时、进程表</w:t>
      </w:r>
      <w:bookmarkEnd w:id="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404"/>
        <w:gridCol w:w="463"/>
        <w:gridCol w:w="1363"/>
        <w:gridCol w:w="1783"/>
        <w:gridCol w:w="583"/>
        <w:gridCol w:w="515"/>
        <w:gridCol w:w="659"/>
        <w:gridCol w:w="600"/>
        <w:gridCol w:w="630"/>
        <w:gridCol w:w="588"/>
        <w:gridCol w:w="597"/>
        <w:gridCol w:w="597"/>
        <w:gridCol w:w="583"/>
        <w:gridCol w:w="591"/>
        <w:gridCol w:w="597"/>
        <w:gridCol w:w="618"/>
        <w:gridCol w:w="540"/>
        <w:gridCol w:w="1727"/>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5" w:type="pct"/>
            <w:gridSpan w:val="2"/>
            <w:vMerge w:val="restar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课程</w:t>
            </w:r>
          </w:p>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类别</w:t>
            </w:r>
          </w:p>
        </w:tc>
        <w:tc>
          <w:tcPr>
            <w:tcW w:w="156"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序号</w:t>
            </w:r>
          </w:p>
        </w:tc>
        <w:tc>
          <w:tcPr>
            <w:tcW w:w="460"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课程代码</w:t>
            </w:r>
          </w:p>
        </w:tc>
        <w:tc>
          <w:tcPr>
            <w:tcW w:w="602"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课程名称</w:t>
            </w:r>
          </w:p>
        </w:tc>
        <w:tc>
          <w:tcPr>
            <w:tcW w:w="371" w:type="pct"/>
            <w:gridSpan w:val="2"/>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课程性质</w:t>
            </w:r>
          </w:p>
        </w:tc>
        <w:tc>
          <w:tcPr>
            <w:tcW w:w="222"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学分</w:t>
            </w:r>
          </w:p>
        </w:tc>
        <w:tc>
          <w:tcPr>
            <w:tcW w:w="614" w:type="pct"/>
            <w:gridSpan w:val="3"/>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教学课时</w:t>
            </w:r>
          </w:p>
        </w:tc>
        <w:tc>
          <w:tcPr>
            <w:tcW w:w="1211" w:type="pct"/>
            <w:gridSpan w:val="6"/>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教学进程(学期、教学活动周数</w:t>
            </w:r>
          </w:p>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课堂教学周数）</w:t>
            </w:r>
          </w:p>
        </w:tc>
        <w:tc>
          <w:tcPr>
            <w:tcW w:w="182" w:type="pct"/>
            <w:vMerge w:val="restar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课程</w:t>
            </w:r>
          </w:p>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考核</w:t>
            </w:r>
          </w:p>
        </w:tc>
        <w:tc>
          <w:tcPr>
            <w:tcW w:w="583" w:type="pct"/>
            <w:vMerge w:val="restar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开课</w:t>
            </w:r>
          </w:p>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部门</w:t>
            </w:r>
          </w:p>
        </w:tc>
        <w:tc>
          <w:tcPr>
            <w:tcW w:w="307"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5" w:type="pct"/>
            <w:gridSpan w:val="2"/>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460"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60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97" w:type="pct"/>
            <w:vMerge w:val="restar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课程</w:t>
            </w:r>
          </w:p>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类型(A/B</w:t>
            </w:r>
          </w:p>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/C)</w:t>
            </w:r>
          </w:p>
        </w:tc>
        <w:tc>
          <w:tcPr>
            <w:tcW w:w="174" w:type="pct"/>
            <w:vMerge w:val="restar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是否</w:t>
            </w:r>
          </w:p>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理实</w:t>
            </w:r>
          </w:p>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一体</w:t>
            </w:r>
          </w:p>
        </w:tc>
        <w:tc>
          <w:tcPr>
            <w:tcW w:w="22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02"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总计</w:t>
            </w:r>
          </w:p>
        </w:tc>
        <w:tc>
          <w:tcPr>
            <w:tcW w:w="213"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理论</w:t>
            </w:r>
          </w:p>
        </w:tc>
        <w:tc>
          <w:tcPr>
            <w:tcW w:w="198" w:type="pct"/>
            <w:vMerge w:val="restar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实践</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1学期</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2学期</w:t>
            </w:r>
          </w:p>
        </w:tc>
        <w:tc>
          <w:tcPr>
            <w:tcW w:w="197"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3学期</w:t>
            </w:r>
          </w:p>
        </w:tc>
        <w:tc>
          <w:tcPr>
            <w:tcW w:w="199"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4学期</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5学期</w:t>
            </w:r>
          </w:p>
        </w:tc>
        <w:tc>
          <w:tcPr>
            <w:tcW w:w="208"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6学期</w:t>
            </w:r>
          </w:p>
        </w:tc>
        <w:tc>
          <w:tcPr>
            <w:tcW w:w="18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583"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5" w:type="pct"/>
            <w:gridSpan w:val="2"/>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460"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60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9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74"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2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0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13"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9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20</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20</w:t>
            </w:r>
          </w:p>
        </w:tc>
        <w:tc>
          <w:tcPr>
            <w:tcW w:w="197"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20</w:t>
            </w:r>
          </w:p>
        </w:tc>
        <w:tc>
          <w:tcPr>
            <w:tcW w:w="199"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20</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20</w:t>
            </w:r>
          </w:p>
        </w:tc>
        <w:tc>
          <w:tcPr>
            <w:tcW w:w="208" w:type="pct"/>
            <w:vAlign w:val="center"/>
          </w:tcPr>
          <w:p>
            <w:pPr>
              <w:widowControl/>
              <w:jc w:val="center"/>
              <w:textAlignment w:val="center"/>
              <w:rPr>
                <w:rFonts w:ascii="楷体_GB2312" w:hAnsi="楷体_GB2312" w:eastAsia="宋体" w:cs="楷体_GB2312"/>
                <w:bCs/>
                <w:color w:val="000000" w:themeColor="text1"/>
                <w:sz w:val="28"/>
                <w:szCs w:val="28"/>
              </w:rPr>
            </w:pPr>
            <w:r>
              <w:rPr>
                <w:rFonts w:hint="eastAsia" w:ascii="宋体" w:hAnsi="宋体" w:eastAsia="宋体" w:cs="宋体"/>
                <w:b/>
                <w:bCs/>
                <w:color w:val="000000" w:themeColor="text1"/>
                <w:kern w:val="0"/>
                <w:szCs w:val="21"/>
              </w:rPr>
              <w:t>26</w:t>
            </w:r>
          </w:p>
        </w:tc>
        <w:tc>
          <w:tcPr>
            <w:tcW w:w="18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583"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285" w:type="pct"/>
            <w:gridSpan w:val="2"/>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460"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60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9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74"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2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0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13"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9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16</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18</w:t>
            </w:r>
          </w:p>
        </w:tc>
        <w:tc>
          <w:tcPr>
            <w:tcW w:w="197"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18</w:t>
            </w:r>
          </w:p>
        </w:tc>
        <w:tc>
          <w:tcPr>
            <w:tcW w:w="199"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18</w:t>
            </w:r>
          </w:p>
        </w:tc>
        <w:tc>
          <w:tcPr>
            <w:tcW w:w="201"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18</w:t>
            </w:r>
          </w:p>
        </w:tc>
        <w:tc>
          <w:tcPr>
            <w:tcW w:w="208" w:type="pct"/>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
                <w:bCs/>
                <w:color w:val="000000" w:themeColor="text1"/>
                <w:kern w:val="0"/>
                <w:szCs w:val="21"/>
              </w:rPr>
              <w:t>26</w:t>
            </w:r>
          </w:p>
        </w:tc>
        <w:tc>
          <w:tcPr>
            <w:tcW w:w="182"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583"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公    共    基    础    课</w:t>
            </w:r>
          </w:p>
        </w:tc>
        <w:tc>
          <w:tcPr>
            <w:tcW w:w="136" w:type="pct"/>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公    共    必    修    课</w:t>
            </w: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形势与政策I</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0.25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形势与政策II</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0.25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形势与政策III</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0.25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形势与政策IV</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0.25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形势与政策（专题）</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0.25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军训Ⅱ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90</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90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学生</w:t>
            </w:r>
          </w:p>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工作处</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军事理论</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E</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学生</w:t>
            </w:r>
          </w:p>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工作处</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劳动教育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E</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学生</w:t>
            </w:r>
          </w:p>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工作处</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9</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14501184009</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思想道德与法治</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14501184010</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思想政治理论课</w:t>
            </w:r>
          </w:p>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实践教学</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铸牢中华民族</w:t>
            </w:r>
          </w:p>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共同体意识</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公    共    基    础    课</w:t>
            </w:r>
          </w:p>
        </w:tc>
        <w:tc>
          <w:tcPr>
            <w:tcW w:w="136" w:type="pct"/>
            <w:vMerge w:val="restart"/>
            <w:textDirection w:val="tbRlV"/>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公    共    必    修    课</w:t>
            </w: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习近平新时代中国特色社会主义思想概论</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毛泽东思想和中国特色社会主义理论体系概论</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职业发展与就业指导</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高职英语Ⅰ</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高职英语Ⅱ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信息技术Ⅰ（高职）</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信息技术Ⅱ（高职）</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19</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14501184019</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高职实用语文Ⅰ</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14501184020</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高职实用语文Ⅱ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14501184021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体育与健康Ⅰ</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14501184022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体育与健康Ⅱ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bookmarkStart w:id="50" w:name="_GoBack"/>
            <w:bookmarkEnd w:id="50"/>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14501184025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心理健康教育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学生</w:t>
            </w:r>
          </w:p>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工作处</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14501184026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大学生安全教育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14501184027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创新与创业教育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24</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728" w:type="pct"/>
            <w:gridSpan w:val="6"/>
            <w:vAlign w:val="center"/>
          </w:tcPr>
          <w:p>
            <w:pPr>
              <w:widowControl/>
              <w:jc w:val="center"/>
              <w:textAlignment w:val="center"/>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公共必修课小计</w:t>
            </w:r>
          </w:p>
        </w:tc>
        <w:tc>
          <w:tcPr>
            <w:tcW w:w="222"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42</w:t>
            </w:r>
          </w:p>
        </w:tc>
        <w:tc>
          <w:tcPr>
            <w:tcW w:w="202" w:type="pct"/>
            <w:tcFitTex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spacing w:val="23"/>
                <w:kern w:val="0"/>
                <w:szCs w:val="21"/>
              </w:rPr>
              <w:t>70</w:t>
            </w:r>
            <w:r>
              <w:rPr>
                <w:rFonts w:hint="eastAsia" w:ascii="宋体" w:hAnsi="宋体" w:eastAsia="宋体" w:cs="宋体"/>
                <w:b/>
                <w:bCs/>
                <w:color w:val="000000" w:themeColor="text1"/>
                <w:spacing w:val="1"/>
                <w:kern w:val="0"/>
                <w:szCs w:val="21"/>
              </w:rPr>
              <w:t>2</w:t>
            </w:r>
          </w:p>
        </w:tc>
        <w:tc>
          <w:tcPr>
            <w:tcW w:w="213" w:type="pct"/>
            <w:tcFitTex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spacing w:val="54"/>
                <w:w w:val="93"/>
                <w:kern w:val="0"/>
                <w:szCs w:val="21"/>
              </w:rPr>
              <w:t>43</w:t>
            </w:r>
            <w:r>
              <w:rPr>
                <w:rFonts w:hint="eastAsia" w:ascii="宋体" w:hAnsi="宋体" w:eastAsia="宋体" w:cs="宋体"/>
                <w:b/>
                <w:bCs/>
                <w:color w:val="000000" w:themeColor="text1"/>
                <w:w w:val="93"/>
                <w:kern w:val="0"/>
                <w:szCs w:val="21"/>
              </w:rPr>
              <w:t>0</w:t>
            </w:r>
          </w:p>
        </w:tc>
        <w:tc>
          <w:tcPr>
            <w:tcW w:w="198" w:type="pct"/>
            <w:tcFitTex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spacing w:val="31"/>
                <w:w w:val="93"/>
                <w:kern w:val="0"/>
                <w:szCs w:val="21"/>
              </w:rPr>
              <w:t>27</w:t>
            </w:r>
            <w:r>
              <w:rPr>
                <w:rFonts w:hint="eastAsia" w:ascii="宋体" w:hAnsi="宋体" w:eastAsia="宋体" w:cs="宋体"/>
                <w:b/>
                <w:bCs/>
                <w:color w:val="000000" w:themeColor="text1"/>
                <w:w w:val="93"/>
                <w:kern w:val="0"/>
                <w:szCs w:val="21"/>
              </w:rPr>
              <w:t>2</w:t>
            </w:r>
          </w:p>
        </w:tc>
        <w:tc>
          <w:tcPr>
            <w:tcW w:w="201"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18</w:t>
            </w:r>
          </w:p>
        </w:tc>
        <w:tc>
          <w:tcPr>
            <w:tcW w:w="201"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14</w:t>
            </w:r>
          </w:p>
        </w:tc>
        <w:tc>
          <w:tcPr>
            <w:tcW w:w="197"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4</w:t>
            </w:r>
          </w:p>
        </w:tc>
        <w:tc>
          <w:tcPr>
            <w:tcW w:w="199"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1</w:t>
            </w:r>
          </w:p>
        </w:tc>
        <w:tc>
          <w:tcPr>
            <w:tcW w:w="201" w:type="pct"/>
            <w:vAlign w:val="center"/>
          </w:tcPr>
          <w:p>
            <w:pPr>
              <w:widowControl/>
              <w:jc w:val="center"/>
              <w:textAlignment w:val="center"/>
              <w:rPr>
                <w:rFonts w:ascii="宋体" w:hAnsi="宋体" w:eastAsia="宋体" w:cs="宋体"/>
                <w:b/>
                <w:bCs/>
                <w:color w:val="000000" w:themeColor="text1"/>
                <w:kern w:val="0"/>
                <w:szCs w:val="21"/>
              </w:rPr>
            </w:pPr>
          </w:p>
        </w:tc>
        <w:tc>
          <w:tcPr>
            <w:tcW w:w="208" w:type="pct"/>
            <w:vAlign w:val="center"/>
          </w:tcPr>
          <w:p>
            <w:pPr>
              <w:widowControl/>
              <w:jc w:val="center"/>
              <w:textAlignment w:val="center"/>
              <w:rPr>
                <w:rFonts w:ascii="宋体" w:hAnsi="宋体" w:eastAsia="宋体" w:cs="宋体"/>
                <w:b/>
                <w:bCs/>
                <w:color w:val="000000" w:themeColor="text1"/>
                <w:kern w:val="0"/>
                <w:szCs w:val="21"/>
              </w:rPr>
            </w:pPr>
          </w:p>
        </w:tc>
        <w:tc>
          <w:tcPr>
            <w:tcW w:w="182" w:type="pct"/>
            <w:tcFitText/>
            <w:vAlign w:val="center"/>
          </w:tcPr>
          <w:p>
            <w:pPr>
              <w:widowControl/>
              <w:jc w:val="center"/>
              <w:textAlignment w:val="center"/>
              <w:rPr>
                <w:rFonts w:ascii="楷体_GB2312" w:hAnsi="楷体_GB2312" w:eastAsia="楷体_GB2312" w:cs="楷体_GB2312"/>
                <w:bCs/>
                <w:color w:val="000000" w:themeColor="text1"/>
                <w:sz w:val="28"/>
                <w:szCs w:val="28"/>
              </w:rPr>
            </w:pPr>
          </w:p>
        </w:tc>
        <w:tc>
          <w:tcPr>
            <w:tcW w:w="583" w:type="pct"/>
            <w:vAlign w:val="center"/>
          </w:tcPr>
          <w:p>
            <w:pPr>
              <w:pStyle w:val="84"/>
              <w:outlineLvl w:val="1"/>
              <w:rPr>
                <w:rFonts w:ascii="楷体_GB2312" w:hAnsi="楷体_GB2312" w:eastAsia="楷体_GB2312" w:cs="楷体_GB2312"/>
                <w:b w:val="0"/>
                <w:bCs/>
                <w:color w:val="000000" w:themeColor="text1"/>
                <w:sz w:val="28"/>
                <w:szCs w:val="28"/>
              </w:rPr>
            </w:pP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bCs/>
                <w:color w:val="000000" w:themeColor="text1"/>
                <w:sz w:val="21"/>
                <w:szCs w:val="21"/>
              </w:rPr>
              <w:t>公共选修课</w:t>
            </w: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党史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Merge w:val="restar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“四史”教育任选其一，上课为4周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新中国史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改革开放史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社会主义发展史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马克思主义教学部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急救与自救（网）</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restar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限选课程，在线学习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中华优秀传统文化（网）</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widowControl/>
              <w:jc w:val="center"/>
              <w:textAlignment w:val="center"/>
              <w:rPr>
                <w:rFonts w:ascii="楷体_GB2312" w:hAnsi="楷体_GB2312" w:eastAsia="楷体_GB2312" w:cs="楷体_GB2312"/>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大学生劳动就业法律问题解读（网）</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0.5</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color w:val="000000" w:themeColor="text1"/>
                <w:kern w:val="0"/>
                <w:sz w:val="21"/>
                <w:szCs w:val="21"/>
              </w:rPr>
              <w:t>公    共    基    础    课</w:t>
            </w:r>
          </w:p>
        </w:tc>
        <w:tc>
          <w:tcPr>
            <w:tcW w:w="136"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bCs/>
                <w:color w:val="000000" w:themeColor="text1"/>
                <w:sz w:val="21"/>
                <w:szCs w:val="21"/>
              </w:rPr>
              <w:t>公共选修课</w:t>
            </w: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国防安全教育</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9</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14501185009</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节能减排</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14501185010</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应用文写作</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唐诗宋词鉴赏</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礼仪素养</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普通话</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社交礼仪</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市场营销</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高职数学（拓展）</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高职实用语文（拓展）</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高职英语（拓展）</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19</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14501185019</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信息技术（拓展）</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color w:val="000000" w:themeColor="text1"/>
                <w:kern w:val="0"/>
                <w:sz w:val="21"/>
                <w:szCs w:val="21"/>
              </w:rPr>
              <w:t>公    共    基    础    课</w:t>
            </w:r>
          </w:p>
        </w:tc>
        <w:tc>
          <w:tcPr>
            <w:tcW w:w="136"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bCs/>
                <w:color w:val="000000" w:themeColor="text1"/>
                <w:sz w:val="21"/>
                <w:szCs w:val="21"/>
              </w:rPr>
              <w:t>公共选修课</w:t>
            </w: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14501185020</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思想政治理论（拓展）</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音乐欣赏</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restar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美育类课程至少选一门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书画艺术欣赏</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舞蹈</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书法</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体育（足球）</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restar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体育类课程至少选一门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体育（篮球）</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体育（羽毛球）</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体育（乒乓球）</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29</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14501185029</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体育（排球）</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14501185030</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健美操</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基础部</w:t>
            </w:r>
          </w:p>
        </w:tc>
        <w:tc>
          <w:tcPr>
            <w:tcW w:w="307"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728" w:type="pct"/>
            <w:gridSpan w:val="6"/>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公共选修课小计</w:t>
            </w:r>
          </w:p>
        </w:tc>
        <w:tc>
          <w:tcPr>
            <w:tcW w:w="222"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6</w:t>
            </w:r>
          </w:p>
        </w:tc>
        <w:tc>
          <w:tcPr>
            <w:tcW w:w="202"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96</w:t>
            </w:r>
          </w:p>
        </w:tc>
        <w:tc>
          <w:tcPr>
            <w:tcW w:w="213"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64</w:t>
            </w:r>
          </w:p>
        </w:tc>
        <w:tc>
          <w:tcPr>
            <w:tcW w:w="198"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32</w:t>
            </w:r>
          </w:p>
        </w:tc>
        <w:tc>
          <w:tcPr>
            <w:tcW w:w="201" w:type="pct"/>
            <w:vAlign w:val="center"/>
          </w:tcPr>
          <w:p>
            <w:pPr>
              <w:jc w:val="center"/>
              <w:textAlignment w:val="center"/>
              <w:rPr>
                <w:rFonts w:ascii="宋体" w:hAnsi="宋体" w:eastAsia="宋体" w:cs="宋体"/>
                <w:b/>
                <w:color w:val="000000" w:themeColor="text1"/>
                <w:kern w:val="0"/>
                <w:szCs w:val="21"/>
              </w:rPr>
            </w:pPr>
          </w:p>
        </w:tc>
        <w:tc>
          <w:tcPr>
            <w:tcW w:w="201"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1.5</w:t>
            </w:r>
          </w:p>
        </w:tc>
        <w:tc>
          <w:tcPr>
            <w:tcW w:w="197"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1.5</w:t>
            </w:r>
          </w:p>
        </w:tc>
        <w:tc>
          <w:tcPr>
            <w:tcW w:w="199"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w:t>
            </w:r>
          </w:p>
        </w:tc>
        <w:tc>
          <w:tcPr>
            <w:tcW w:w="201"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w:t>
            </w:r>
          </w:p>
        </w:tc>
        <w:tc>
          <w:tcPr>
            <w:tcW w:w="208" w:type="pct"/>
            <w:vAlign w:val="center"/>
          </w:tcPr>
          <w:p>
            <w:pPr>
              <w:jc w:val="center"/>
              <w:textAlignment w:val="center"/>
              <w:rPr>
                <w:rFonts w:ascii="宋体" w:hAnsi="宋体" w:eastAsia="宋体" w:cs="宋体"/>
                <w:b/>
                <w:color w:val="000000" w:themeColor="text1"/>
                <w:kern w:val="0"/>
                <w:szCs w:val="21"/>
              </w:rPr>
            </w:pPr>
          </w:p>
        </w:tc>
        <w:tc>
          <w:tcPr>
            <w:tcW w:w="182" w:type="pct"/>
            <w:vAlign w:val="center"/>
          </w:tcPr>
          <w:p>
            <w:pPr>
              <w:widowControl/>
              <w:jc w:val="center"/>
              <w:textAlignment w:val="center"/>
              <w:rPr>
                <w:rFonts w:ascii="楷体_GB2312" w:hAnsi="楷体_GB2312" w:eastAsia="楷体_GB2312" w:cs="楷体_GB2312"/>
                <w:bCs/>
                <w:color w:val="000000" w:themeColor="text1"/>
                <w:sz w:val="28"/>
                <w:szCs w:val="28"/>
              </w:rPr>
            </w:pPr>
          </w:p>
        </w:tc>
        <w:tc>
          <w:tcPr>
            <w:tcW w:w="583" w:type="pct"/>
            <w:vAlign w:val="center"/>
          </w:tcPr>
          <w:p>
            <w:pPr>
              <w:widowControl/>
              <w:jc w:val="center"/>
              <w:textAlignment w:val="center"/>
              <w:rPr>
                <w:rFonts w:ascii="宋体" w:hAnsi="宋体" w:eastAsia="宋体" w:cs="宋体"/>
                <w:color w:val="000000" w:themeColor="text1"/>
                <w:kern w:val="0"/>
                <w:szCs w:val="21"/>
              </w:rPr>
            </w:pP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restart"/>
            <w:textDirection w:val="tbLrV"/>
            <w:vAlign w:val="center"/>
          </w:tcPr>
          <w:p>
            <w:pPr>
              <w:pStyle w:val="84"/>
              <w:ind w:left="113" w:right="113"/>
              <w:outlineLvl w:val="1"/>
              <w:rPr>
                <w:rFonts w:ascii="楷体_GB2312" w:hAnsi="楷体_GB2312" w:eastAsia="楷体_GB2312" w:cs="楷体_GB2312"/>
                <w:b w:val="0"/>
                <w:bCs/>
                <w:color w:val="000000" w:themeColor="text1"/>
                <w:sz w:val="28"/>
                <w:szCs w:val="28"/>
              </w:rPr>
            </w:pPr>
            <w:r>
              <w:rPr>
                <w:rFonts w:hint="eastAsia" w:cs="宋体"/>
                <w:b w:val="0"/>
                <w:color w:val="000000" w:themeColor="text1"/>
                <w:kern w:val="0"/>
                <w:sz w:val="21"/>
                <w:szCs w:val="21"/>
              </w:rPr>
              <w:t>专  业 （技  能） 课</w:t>
            </w:r>
          </w:p>
        </w:tc>
        <w:tc>
          <w:tcPr>
            <w:tcW w:w="136"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color w:val="000000" w:themeColor="text1"/>
                <w:kern w:val="0"/>
                <w:sz w:val="21"/>
                <w:szCs w:val="21"/>
              </w:rPr>
              <w:t>专业必修   课</w:t>
            </w: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1</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14501131201</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土壤与肥料Ⅰ</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12</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10</w:t>
            </w:r>
          </w:p>
        </w:tc>
        <w:tc>
          <w:tcPr>
            <w:tcW w:w="201"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2</w:t>
            </w: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cs="宋体"/>
                <w:b w:val="0"/>
                <w:color w:val="000000" w:themeColor="text1"/>
                <w:kern w:val="0"/>
                <w:sz w:val="21"/>
                <w:szCs w:val="21"/>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2</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14501131202</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土壤与肥料Ⅱ</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12</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10</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2</w:t>
            </w: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3</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14501131203</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植物学</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40</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24</w:t>
            </w:r>
          </w:p>
        </w:tc>
        <w:tc>
          <w:tcPr>
            <w:tcW w:w="201"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4</w:t>
            </w: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4</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14501131204</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植物生理学</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50</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14</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4</w:t>
            </w: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5</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14501131205</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园艺植物识别</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16</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2</w:t>
            </w: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A</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6</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14501131206</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设施园艺技术</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24</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40</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4</w:t>
            </w: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7</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14501131207</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插花与花艺设计</w:t>
            </w:r>
            <w:r>
              <w:rPr>
                <w:rFonts w:ascii="Times New Roman" w:hAnsi="Times New Roman" w:eastAsia="宋体" w:cs="宋体"/>
                <w:color w:val="000000"/>
                <w:kern w:val="0"/>
                <w:sz w:val="18"/>
                <w:szCs w:val="18"/>
              </w:rPr>
              <w:t>Ⅰ</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16</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2</w:t>
            </w: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kern w:val="0"/>
                <w:sz w:val="18"/>
                <w:szCs w:val="18"/>
              </w:rPr>
              <w:t>8</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14501131208</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插花与花艺设计</w:t>
            </w:r>
            <w:r>
              <w:rPr>
                <w:rFonts w:ascii="Times New Roman" w:hAnsi="Times New Roman" w:eastAsia="宋体" w:cs="宋体"/>
                <w:color w:val="000000"/>
                <w:kern w:val="0"/>
                <w:sz w:val="18"/>
                <w:szCs w:val="18"/>
              </w:rPr>
              <w:t>Ⅱ</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16</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2</w:t>
            </w: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C</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9</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14501131209</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花卉生产技术</w:t>
            </w:r>
            <w:r>
              <w:rPr>
                <w:rFonts w:ascii="Times New Roman" w:hAnsi="Times New Roman" w:eastAsia="宋体" w:cs="宋体"/>
                <w:color w:val="000000"/>
                <w:kern w:val="0"/>
                <w:sz w:val="18"/>
                <w:szCs w:val="18"/>
              </w:rPr>
              <w:t>Ⅰ</w:t>
            </w:r>
            <w:r>
              <w:rPr>
                <w:rFonts w:hint="eastAsia" w:ascii="宋体" w:hAnsi="宋体" w:eastAsia="宋体" w:cs="宋体"/>
                <w:bCs/>
                <w:color w:val="000000" w:themeColor="text1"/>
                <w:kern w:val="0"/>
                <w:szCs w:val="21"/>
              </w:rPr>
              <w:t>★</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16</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2</w:t>
            </w: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10</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14501131210</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花卉生产技术</w:t>
            </w:r>
            <w:r>
              <w:rPr>
                <w:rFonts w:ascii="Times New Roman" w:hAnsi="Times New Roman" w:eastAsia="宋体" w:cs="宋体"/>
                <w:color w:val="000000"/>
                <w:kern w:val="0"/>
                <w:sz w:val="18"/>
                <w:szCs w:val="18"/>
              </w:rPr>
              <w:t>Ⅱ</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32</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p>
        </w:tc>
        <w:tc>
          <w:tcPr>
            <w:tcW w:w="199"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4</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11</w:t>
            </w:r>
          </w:p>
        </w:tc>
        <w:tc>
          <w:tcPr>
            <w:tcW w:w="460"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14501131211</w:t>
            </w:r>
          </w:p>
        </w:tc>
        <w:tc>
          <w:tcPr>
            <w:tcW w:w="6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果树生产技术</w:t>
            </w:r>
            <w:r>
              <w:rPr>
                <w:rFonts w:ascii="Times New Roman" w:hAnsi="Times New Roman" w:eastAsia="宋体" w:cs="宋体"/>
                <w:color w:val="000000"/>
                <w:kern w:val="0"/>
                <w:sz w:val="18"/>
                <w:szCs w:val="18"/>
              </w:rPr>
              <w:t>Ⅰ</w:t>
            </w:r>
            <w:r>
              <w:rPr>
                <w:rFonts w:hint="eastAsia" w:ascii="宋体" w:hAnsi="宋体" w:eastAsia="宋体" w:cs="宋体"/>
                <w:bCs/>
                <w:color w:val="000000" w:themeColor="text1"/>
                <w:kern w:val="0"/>
                <w:szCs w:val="21"/>
              </w:rPr>
              <w:t>★</w:t>
            </w:r>
          </w:p>
        </w:tc>
        <w:tc>
          <w:tcPr>
            <w:tcW w:w="197"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B</w:t>
            </w:r>
          </w:p>
        </w:tc>
        <w:tc>
          <w:tcPr>
            <w:tcW w:w="174" w:type="pct"/>
            <w:vAlign w:val="center"/>
          </w:tcPr>
          <w:p>
            <w:pPr>
              <w:jc w:val="center"/>
              <w:textAlignment w:val="center"/>
              <w:rPr>
                <w:rFonts w:ascii="Times New Roman" w:hAnsi="Times New Roman" w:eastAsia="宋体" w:cs="宋体"/>
                <w:color w:val="000000" w:themeColor="text1"/>
                <w:kern w:val="0"/>
                <w:sz w:val="18"/>
                <w:szCs w:val="18"/>
              </w:rPr>
            </w:pPr>
            <w:r>
              <w:rPr>
                <w:rFonts w:hint="eastAsia" w:ascii="Times New Roman" w:hAnsi="Times New Roman" w:eastAsia="宋体" w:cs="宋体"/>
                <w:color w:val="000000" w:themeColor="text1"/>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sz w:val="18"/>
                <w:szCs w:val="18"/>
              </w:rPr>
            </w:pPr>
            <w:r>
              <w:rPr>
                <w:rFonts w:ascii="Times New Roman" w:hAnsi="Times New Roman" w:eastAsia="宋体" w:cs="宋体"/>
                <w:color w:val="000000"/>
                <w:kern w:val="0"/>
                <w:sz w:val="18"/>
                <w:szCs w:val="18"/>
              </w:rPr>
              <w:t>32</w:t>
            </w:r>
          </w:p>
        </w:tc>
        <w:tc>
          <w:tcPr>
            <w:tcW w:w="201"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197"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4</w:t>
            </w:r>
          </w:p>
        </w:tc>
        <w:tc>
          <w:tcPr>
            <w:tcW w:w="199" w:type="pct"/>
            <w:vAlign w:val="center"/>
          </w:tcPr>
          <w:p>
            <w:pPr>
              <w:pStyle w:val="84"/>
              <w:outlineLvl w:val="1"/>
              <w:rPr>
                <w:rFonts w:ascii="Times New Roman" w:hAnsi="Times New Roman" w:cs="宋体"/>
                <w:b w:val="0"/>
                <w:color w:val="000000" w:themeColor="text1"/>
                <w:sz w:val="18"/>
                <w:szCs w:val="18"/>
              </w:rPr>
            </w:pPr>
          </w:p>
        </w:tc>
        <w:tc>
          <w:tcPr>
            <w:tcW w:w="201" w:type="pct"/>
            <w:vAlign w:val="center"/>
          </w:tcPr>
          <w:p>
            <w:pPr>
              <w:pStyle w:val="84"/>
              <w:outlineLvl w:val="1"/>
              <w:rPr>
                <w:rFonts w:ascii="Times New Roman" w:hAnsi="Times New Roman" w:cs="宋体"/>
                <w:b w:val="0"/>
                <w:color w:val="000000" w:themeColor="text1"/>
                <w:sz w:val="18"/>
                <w:szCs w:val="18"/>
              </w:rPr>
            </w:pPr>
          </w:p>
        </w:tc>
        <w:tc>
          <w:tcPr>
            <w:tcW w:w="208" w:type="pct"/>
            <w:vAlign w:val="center"/>
          </w:tcPr>
          <w:p>
            <w:pPr>
              <w:pStyle w:val="84"/>
              <w:outlineLvl w:val="1"/>
              <w:rPr>
                <w:rFonts w:ascii="Times New Roman" w:hAnsi="Times New Roman" w:cs="宋体"/>
                <w:b w:val="0"/>
                <w:color w:val="000000" w:themeColor="text1"/>
                <w:sz w:val="18"/>
                <w:szCs w:val="18"/>
              </w:rPr>
            </w:pPr>
          </w:p>
        </w:tc>
        <w:tc>
          <w:tcPr>
            <w:tcW w:w="182"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sz w:val="18"/>
                <w:szCs w:val="18"/>
              </w:rPr>
              <w:t>B</w:t>
            </w:r>
          </w:p>
        </w:tc>
        <w:tc>
          <w:tcPr>
            <w:tcW w:w="583" w:type="pct"/>
            <w:vAlign w:val="center"/>
          </w:tcPr>
          <w:p>
            <w:pPr>
              <w:pStyle w:val="84"/>
              <w:outlineLvl w:val="1"/>
              <w:rPr>
                <w:rFonts w:ascii="Times New Roman" w:hAnsi="Times New Roman" w:cs="宋体"/>
                <w:b w:val="0"/>
                <w:color w:val="000000" w:themeColor="text1"/>
                <w:sz w:val="18"/>
                <w:szCs w:val="18"/>
              </w:rPr>
            </w:pPr>
            <w:r>
              <w:rPr>
                <w:rFonts w:hint="eastAsia" w:ascii="Times New Roman" w:hAnsi="Times New Roman" w:cs="宋体"/>
                <w:b w:val="0"/>
                <w:color w:val="000000" w:themeColor="text1"/>
                <w:kern w:val="0"/>
                <w:sz w:val="18"/>
                <w:szCs w:val="18"/>
              </w:rPr>
              <w:t>生态工程系</w:t>
            </w:r>
          </w:p>
        </w:tc>
        <w:tc>
          <w:tcPr>
            <w:tcW w:w="307" w:type="pct"/>
            <w:vAlign w:val="center"/>
          </w:tcPr>
          <w:p>
            <w:pPr>
              <w:pStyle w:val="84"/>
              <w:outlineLvl w:val="1"/>
              <w:rPr>
                <w:rFonts w:ascii="Times New Roman" w:hAnsi="Times New Roman" w:cs="宋体"/>
                <w:b w:val="0"/>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果树生产技术</w:t>
            </w:r>
            <w:r>
              <w:rPr>
                <w:rFonts w:ascii="Times New Roman" w:hAnsi="Times New Roman" w:eastAsia="宋体" w:cs="宋体"/>
                <w:color w:val="000000"/>
                <w:kern w:val="0"/>
                <w:sz w:val="18"/>
                <w:szCs w:val="18"/>
              </w:rPr>
              <w:t>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蔬菜生产技术</w:t>
            </w:r>
            <w:r>
              <w:rPr>
                <w:rFonts w:ascii="Times New Roman" w:hAnsi="Times New Roman" w:eastAsia="宋体" w:cs="宋体"/>
                <w:color w:val="000000"/>
                <w:kern w:val="0"/>
                <w:sz w:val="18"/>
                <w:szCs w:val="18"/>
              </w:rPr>
              <w:t>Ⅰ</w:t>
            </w:r>
            <w:r>
              <w:rPr>
                <w:rFonts w:hint="eastAsia" w:ascii="宋体" w:hAnsi="宋体" w:eastAsia="宋体" w:cs="宋体"/>
                <w:bCs/>
                <w:color w:val="000000" w:themeColor="text1"/>
                <w:kern w:val="0"/>
                <w:szCs w:val="21"/>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蔬菜生产技术</w:t>
            </w:r>
            <w:r>
              <w:rPr>
                <w:rFonts w:ascii="Times New Roman" w:hAnsi="Times New Roman" w:eastAsia="宋体" w:cs="宋体"/>
                <w:color w:val="000000"/>
                <w:kern w:val="0"/>
                <w:sz w:val="18"/>
                <w:szCs w:val="18"/>
              </w:rPr>
              <w:t>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园艺植物病虫害防治</w:t>
            </w:r>
            <w:r>
              <w:rPr>
                <w:rFonts w:ascii="Times New Roman" w:hAnsi="Times New Roman" w:eastAsia="宋体" w:cs="宋体"/>
                <w:color w:val="000000"/>
                <w:kern w:val="0"/>
                <w:sz w:val="18"/>
                <w:szCs w:val="18"/>
              </w:rPr>
              <w:t>Ⅰ</w:t>
            </w:r>
            <w:r>
              <w:rPr>
                <w:rFonts w:hint="eastAsia" w:ascii="宋体" w:hAnsi="宋体" w:eastAsia="宋体" w:cs="宋体"/>
                <w:bCs/>
                <w:color w:val="000000" w:themeColor="text1"/>
                <w:kern w:val="0"/>
                <w:szCs w:val="21"/>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园艺植物病虫害防治</w:t>
            </w:r>
            <w:r>
              <w:rPr>
                <w:rFonts w:ascii="Times New Roman" w:hAnsi="Times New Roman" w:eastAsia="宋体" w:cs="宋体"/>
                <w:color w:val="000000"/>
                <w:kern w:val="0"/>
                <w:sz w:val="18"/>
                <w:szCs w:val="18"/>
              </w:rPr>
              <w:t>Ⅱ</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植物组织培养</w:t>
            </w:r>
            <w:r>
              <w:rPr>
                <w:rFonts w:hint="eastAsia" w:ascii="宋体" w:hAnsi="宋体" w:eastAsia="宋体" w:cs="宋体"/>
                <w:bCs/>
                <w:color w:val="000000" w:themeColor="text1"/>
                <w:kern w:val="0"/>
                <w:szCs w:val="21"/>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园艺产品营销</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19</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14501131219</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景观园艺</w:t>
            </w:r>
            <w:r>
              <w:rPr>
                <w:rFonts w:hint="eastAsia" w:ascii="宋体" w:hAnsi="宋体" w:eastAsia="宋体" w:cs="宋体"/>
                <w:bCs/>
                <w:color w:val="000000" w:themeColor="text1"/>
                <w:kern w:val="0"/>
                <w:szCs w:val="21"/>
              </w:rPr>
              <w:t>★</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14501131220</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园艺机械与设施</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A</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14501131221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园艺产品贮藏加工与检测</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14501131222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园艺作物育种</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64</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ascii="Times New Roman" w:hAnsi="Times New Roman" w:eastAsia="宋体" w:cs="宋体"/>
                <w:color w:val="000000"/>
                <w:kern w:val="0"/>
                <w:sz w:val="18"/>
                <w:szCs w:val="18"/>
              </w:rPr>
              <w:t>32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14501131223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草坪建植与养护</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p>
        </w:tc>
        <w:tc>
          <w:tcPr>
            <w:tcW w:w="460" w:type="pct"/>
            <w:vAlign w:val="center"/>
          </w:tcPr>
          <w:p>
            <w:pPr>
              <w:widowControl/>
              <w:jc w:val="center"/>
              <w:textAlignment w:val="center"/>
              <w:rPr>
                <w:rFonts w:ascii="Times New Roman" w:hAnsi="Times New Roman" w:eastAsia="宋体" w:cs="宋体"/>
                <w:color w:val="000000"/>
                <w:kern w:val="0"/>
                <w:sz w:val="18"/>
                <w:szCs w:val="18"/>
              </w:rPr>
            </w:pP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顶岗实习</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174" w:type="pct"/>
            <w:vAlign w:val="center"/>
          </w:tcPr>
          <w:p>
            <w:pPr>
              <w:widowControl/>
              <w:jc w:val="center"/>
              <w:textAlignment w:val="center"/>
              <w:rPr>
                <w:rFonts w:ascii="Times New Roman" w:hAnsi="Times New Roman" w:eastAsia="宋体" w:cs="宋体"/>
                <w:color w:val="000000"/>
                <w:kern w:val="0"/>
                <w:sz w:val="18"/>
                <w:szCs w:val="18"/>
              </w:rPr>
            </w:pP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30</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720</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0</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720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720</w:t>
            </w: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D</w:t>
            </w:r>
          </w:p>
        </w:tc>
        <w:tc>
          <w:tcPr>
            <w:tcW w:w="583" w:type="pct"/>
            <w:vAlign w:val="center"/>
          </w:tcPr>
          <w:p>
            <w:pPr>
              <w:widowControl/>
              <w:jc w:val="center"/>
              <w:textAlignment w:val="center"/>
              <w:rPr>
                <w:rFonts w:ascii="Times New Roman" w:hAnsi="Times New Roman" w:eastAsia="宋体" w:cs="宋体"/>
                <w:color w:val="000000"/>
                <w:kern w:val="0"/>
                <w:sz w:val="18"/>
                <w:szCs w:val="18"/>
              </w:rPr>
            </w:pPr>
          </w:p>
        </w:tc>
        <w:tc>
          <w:tcPr>
            <w:tcW w:w="307" w:type="pct"/>
            <w:vAlign w:val="center"/>
          </w:tcPr>
          <w:p>
            <w:pPr>
              <w:pStyle w:val="84"/>
              <w:outlineLvl w:val="1"/>
              <w:rPr>
                <w:rFonts w:ascii="楷体_GB2312" w:hAnsi="楷体_GB2312" w:eastAsia="楷体_GB2312" w:cs="楷体_GB2312"/>
                <w:b w:val="0"/>
                <w:bCs/>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728" w:type="pct"/>
            <w:gridSpan w:val="6"/>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专业必修课小计</w:t>
            </w:r>
          </w:p>
        </w:tc>
        <w:tc>
          <w:tcPr>
            <w:tcW w:w="222"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kern w:val="0"/>
                <w:sz w:val="22"/>
              </w:rPr>
              <w:t>102</w:t>
            </w:r>
          </w:p>
        </w:tc>
        <w:tc>
          <w:tcPr>
            <w:tcW w:w="202"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kern w:val="0"/>
                <w:sz w:val="22"/>
              </w:rPr>
              <w:t>1872</w:t>
            </w:r>
          </w:p>
        </w:tc>
        <w:tc>
          <w:tcPr>
            <w:tcW w:w="213"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kern w:val="0"/>
                <w:sz w:val="22"/>
              </w:rPr>
              <w:t>586</w:t>
            </w:r>
          </w:p>
        </w:tc>
        <w:tc>
          <w:tcPr>
            <w:tcW w:w="198" w:type="pct"/>
            <w:vAlign w:val="center"/>
          </w:tcPr>
          <w:p>
            <w:pPr>
              <w:widowControl/>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kern w:val="0"/>
                <w:sz w:val="22"/>
              </w:rPr>
              <w:t>1266</w:t>
            </w:r>
          </w:p>
        </w:tc>
        <w:tc>
          <w:tcPr>
            <w:tcW w:w="201"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6</w:t>
            </w:r>
          </w:p>
        </w:tc>
        <w:tc>
          <w:tcPr>
            <w:tcW w:w="201"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12</w:t>
            </w:r>
          </w:p>
        </w:tc>
        <w:tc>
          <w:tcPr>
            <w:tcW w:w="197"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16</w:t>
            </w:r>
          </w:p>
        </w:tc>
        <w:tc>
          <w:tcPr>
            <w:tcW w:w="199"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20</w:t>
            </w:r>
          </w:p>
        </w:tc>
        <w:tc>
          <w:tcPr>
            <w:tcW w:w="201" w:type="pct"/>
            <w:vAlign w:val="center"/>
          </w:tcPr>
          <w:p>
            <w:pPr>
              <w:jc w:val="center"/>
              <w:textAlignment w:val="center"/>
              <w:rPr>
                <w:rFonts w:ascii="宋体" w:hAnsi="宋体" w:eastAsia="宋体" w:cs="宋体"/>
                <w:b/>
                <w:color w:val="000000" w:themeColor="text1"/>
                <w:kern w:val="0"/>
                <w:szCs w:val="21"/>
              </w:rPr>
            </w:pPr>
            <w:r>
              <w:rPr>
                <w:rFonts w:hint="eastAsia" w:ascii="宋体" w:hAnsi="宋体" w:eastAsia="宋体" w:cs="宋体"/>
                <w:b/>
                <w:color w:val="000000" w:themeColor="text1"/>
                <w:kern w:val="0"/>
                <w:szCs w:val="21"/>
              </w:rPr>
              <w:t>18</w:t>
            </w:r>
          </w:p>
        </w:tc>
        <w:tc>
          <w:tcPr>
            <w:tcW w:w="208" w:type="pct"/>
            <w:vAlign w:val="center"/>
          </w:tcPr>
          <w:p>
            <w:pPr>
              <w:jc w:val="center"/>
              <w:textAlignment w:val="center"/>
              <w:rPr>
                <w:rFonts w:ascii="宋体" w:hAnsi="宋体" w:eastAsia="宋体" w:cs="宋体"/>
                <w:bCs/>
                <w:color w:val="000000" w:themeColor="text1"/>
                <w:kern w:val="0"/>
                <w:szCs w:val="21"/>
              </w:rPr>
            </w:pPr>
          </w:p>
        </w:tc>
        <w:tc>
          <w:tcPr>
            <w:tcW w:w="182" w:type="pct"/>
            <w:vAlign w:val="center"/>
          </w:tcPr>
          <w:p>
            <w:pPr>
              <w:jc w:val="center"/>
              <w:textAlignment w:val="center"/>
              <w:rPr>
                <w:rFonts w:ascii="宋体" w:hAnsi="宋体" w:eastAsia="宋体" w:cs="宋体"/>
                <w:bCs/>
                <w:color w:val="000000" w:themeColor="text1"/>
                <w:kern w:val="0"/>
                <w:szCs w:val="21"/>
              </w:rPr>
            </w:pPr>
          </w:p>
        </w:tc>
        <w:tc>
          <w:tcPr>
            <w:tcW w:w="583" w:type="pct"/>
            <w:vAlign w:val="center"/>
          </w:tcPr>
          <w:p>
            <w:pPr>
              <w:jc w:val="center"/>
              <w:textAlignment w:val="center"/>
              <w:rPr>
                <w:rFonts w:ascii="宋体" w:hAnsi="宋体" w:eastAsia="宋体" w:cs="宋体"/>
                <w:bCs/>
                <w:color w:val="000000" w:themeColor="text1"/>
                <w:kern w:val="0"/>
                <w:szCs w:val="21"/>
              </w:rPr>
            </w:pPr>
          </w:p>
        </w:tc>
        <w:tc>
          <w:tcPr>
            <w:tcW w:w="307" w:type="pct"/>
            <w:vAlign w:val="center"/>
          </w:tcPr>
          <w:p>
            <w:pPr>
              <w:jc w:val="center"/>
              <w:textAlignment w:val="center"/>
              <w:rPr>
                <w:rFonts w:ascii="宋体" w:hAnsi="宋体" w:eastAsia="宋体" w:cs="宋体"/>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restart"/>
            <w:textDirection w:val="tbRlV"/>
            <w:vAlign w:val="center"/>
          </w:tcPr>
          <w:p>
            <w:pPr>
              <w:pStyle w:val="84"/>
              <w:ind w:left="113" w:right="113"/>
              <w:outlineLvl w:val="1"/>
              <w:rPr>
                <w:rFonts w:ascii="楷体_GB2312" w:hAnsi="楷体_GB2312" w:eastAsia="楷体_GB2312" w:cs="楷体_GB2312"/>
                <w:b w:val="0"/>
                <w:bCs/>
                <w:color w:val="000000" w:themeColor="text1"/>
                <w:sz w:val="28"/>
                <w:szCs w:val="28"/>
              </w:rPr>
            </w:pPr>
            <w:r>
              <w:rPr>
                <w:rFonts w:hint="eastAsia" w:cs="宋体"/>
                <w:b w:val="0"/>
                <w:color w:val="000000" w:themeColor="text1"/>
                <w:kern w:val="0"/>
                <w:sz w:val="21"/>
                <w:szCs w:val="21"/>
              </w:rPr>
              <w:t>专  业 （技  能） 课</w:t>
            </w:r>
          </w:p>
        </w:tc>
        <w:tc>
          <w:tcPr>
            <w:tcW w:w="136" w:type="pct"/>
            <w:vMerge w:val="restart"/>
            <w:vAlign w:val="center"/>
          </w:tcPr>
          <w:p>
            <w:pPr>
              <w:pStyle w:val="84"/>
              <w:outlineLvl w:val="1"/>
              <w:rPr>
                <w:rFonts w:ascii="楷体_GB2312" w:hAnsi="楷体_GB2312" w:eastAsia="楷体_GB2312" w:cs="楷体_GB2312"/>
                <w:b w:val="0"/>
                <w:bCs/>
                <w:color w:val="000000" w:themeColor="text1"/>
                <w:sz w:val="28"/>
                <w:szCs w:val="28"/>
              </w:rPr>
            </w:pPr>
            <w:r>
              <w:rPr>
                <w:rFonts w:hint="eastAsia" w:cs="宋体"/>
                <w:b w:val="0"/>
                <w:bCs/>
                <w:color w:val="000000" w:themeColor="text1"/>
                <w:sz w:val="21"/>
                <w:szCs w:val="21"/>
              </w:rPr>
              <w:t>专业选修课</w:t>
            </w: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14501132201</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美术基础</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12</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20</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14501132202</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气象学</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14501132203</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无土栽培</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4</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14501132204</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CAD初级</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5</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14501132205</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农业试验与推广</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6</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14501132206</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气象学</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7</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14501132207</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食用菌生产</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36"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56"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8</w:t>
            </w:r>
          </w:p>
        </w:tc>
        <w:tc>
          <w:tcPr>
            <w:tcW w:w="460"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14501132208</w:t>
            </w:r>
          </w:p>
        </w:tc>
        <w:tc>
          <w:tcPr>
            <w:tcW w:w="6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工程预决算</w:t>
            </w:r>
          </w:p>
        </w:tc>
        <w:tc>
          <w:tcPr>
            <w:tcW w:w="197"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B</w:t>
            </w:r>
          </w:p>
        </w:tc>
        <w:tc>
          <w:tcPr>
            <w:tcW w:w="174"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是</w:t>
            </w:r>
          </w:p>
        </w:tc>
        <w:tc>
          <w:tcPr>
            <w:tcW w:w="22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32</w:t>
            </w:r>
          </w:p>
        </w:tc>
        <w:tc>
          <w:tcPr>
            <w:tcW w:w="21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198"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16</w:t>
            </w: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p>
        </w:tc>
        <w:tc>
          <w:tcPr>
            <w:tcW w:w="197" w:type="pct"/>
            <w:vAlign w:val="center"/>
          </w:tcPr>
          <w:p>
            <w:pPr>
              <w:widowControl/>
              <w:jc w:val="center"/>
              <w:textAlignment w:val="center"/>
              <w:rPr>
                <w:rFonts w:ascii="Times New Roman" w:hAnsi="Times New Roman" w:eastAsia="宋体" w:cs="宋体"/>
                <w:color w:val="000000"/>
                <w:kern w:val="0"/>
                <w:sz w:val="18"/>
                <w:szCs w:val="18"/>
              </w:rPr>
            </w:pPr>
          </w:p>
        </w:tc>
        <w:tc>
          <w:tcPr>
            <w:tcW w:w="199" w:type="pct"/>
            <w:vAlign w:val="center"/>
          </w:tcPr>
          <w:p>
            <w:pPr>
              <w:widowControl/>
              <w:jc w:val="center"/>
              <w:textAlignment w:val="center"/>
              <w:rPr>
                <w:rFonts w:ascii="Times New Roman" w:hAnsi="Times New Roman" w:eastAsia="宋体" w:cs="宋体"/>
                <w:color w:val="000000"/>
                <w:kern w:val="0"/>
                <w:sz w:val="18"/>
                <w:szCs w:val="18"/>
              </w:rPr>
            </w:pPr>
          </w:p>
        </w:tc>
        <w:tc>
          <w:tcPr>
            <w:tcW w:w="201"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2</w:t>
            </w:r>
          </w:p>
        </w:tc>
        <w:tc>
          <w:tcPr>
            <w:tcW w:w="208" w:type="pct"/>
            <w:vAlign w:val="center"/>
          </w:tcPr>
          <w:p>
            <w:pPr>
              <w:widowControl/>
              <w:jc w:val="center"/>
              <w:textAlignment w:val="center"/>
              <w:rPr>
                <w:rFonts w:ascii="Times New Roman" w:hAnsi="Times New Roman" w:eastAsia="宋体" w:cs="宋体"/>
                <w:color w:val="000000"/>
                <w:kern w:val="0"/>
                <w:sz w:val="18"/>
                <w:szCs w:val="18"/>
              </w:rPr>
            </w:pPr>
          </w:p>
        </w:tc>
        <w:tc>
          <w:tcPr>
            <w:tcW w:w="182"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C</w:t>
            </w:r>
          </w:p>
        </w:tc>
        <w:tc>
          <w:tcPr>
            <w:tcW w:w="583" w:type="pct"/>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生态工程系</w:t>
            </w:r>
          </w:p>
        </w:tc>
        <w:tc>
          <w:tcPr>
            <w:tcW w:w="307" w:type="pct"/>
            <w:vAlign w:val="center"/>
          </w:tcPr>
          <w:p>
            <w:pPr>
              <w:widowControl/>
              <w:jc w:val="center"/>
              <w:textAlignment w:val="center"/>
              <w:rPr>
                <w:rFonts w:ascii="Times New Roman" w:hAnsi="Times New Roman"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8" w:type="pct"/>
            <w:vMerge w:val="continue"/>
            <w:vAlign w:val="center"/>
          </w:tcPr>
          <w:p>
            <w:pPr>
              <w:pStyle w:val="84"/>
              <w:outlineLvl w:val="1"/>
              <w:rPr>
                <w:rFonts w:ascii="楷体_GB2312" w:hAnsi="楷体_GB2312" w:eastAsia="楷体_GB2312" w:cs="楷体_GB2312"/>
                <w:b w:val="0"/>
                <w:bCs/>
                <w:color w:val="000000" w:themeColor="text1"/>
                <w:sz w:val="28"/>
                <w:szCs w:val="28"/>
              </w:rPr>
            </w:pPr>
          </w:p>
        </w:tc>
        <w:tc>
          <w:tcPr>
            <w:tcW w:w="1728" w:type="pct"/>
            <w:gridSpan w:val="6"/>
            <w:vAlign w:val="center"/>
          </w:tcPr>
          <w:p>
            <w:pPr>
              <w:widowControl/>
              <w:jc w:val="center"/>
              <w:textAlignment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专业选修课小计</w:t>
            </w:r>
          </w:p>
        </w:tc>
        <w:tc>
          <w:tcPr>
            <w:tcW w:w="222" w:type="pct"/>
            <w:vAlign w:val="center"/>
          </w:tcPr>
          <w:p>
            <w:pPr>
              <w:widowControl/>
              <w:jc w:val="center"/>
              <w:textAlignment w:val="center"/>
              <w:rPr>
                <w:rFonts w:ascii="Times New Roman" w:hAnsi="Times New Roman" w:eastAsia="宋体" w:cs="宋体"/>
                <w:b/>
                <w:bCs/>
                <w:color w:val="000000"/>
                <w:kern w:val="0"/>
                <w:sz w:val="18"/>
                <w:szCs w:val="18"/>
              </w:rPr>
            </w:pPr>
            <w:r>
              <w:rPr>
                <w:rFonts w:hint="eastAsia" w:ascii="Times New Roman" w:hAnsi="Times New Roman" w:eastAsia="宋体" w:cs="宋体"/>
                <w:b/>
                <w:bCs/>
                <w:color w:val="000000"/>
                <w:kern w:val="0"/>
                <w:sz w:val="18"/>
                <w:szCs w:val="18"/>
              </w:rPr>
              <w:t>12</w:t>
            </w:r>
          </w:p>
        </w:tc>
        <w:tc>
          <w:tcPr>
            <w:tcW w:w="202" w:type="pct"/>
            <w:vAlign w:val="center"/>
          </w:tcPr>
          <w:p>
            <w:pPr>
              <w:widowControl/>
              <w:jc w:val="center"/>
              <w:textAlignment w:val="center"/>
              <w:rPr>
                <w:rFonts w:ascii="Times New Roman" w:hAnsi="Times New Roman" w:eastAsia="宋体" w:cs="宋体"/>
                <w:b/>
                <w:bCs/>
                <w:color w:val="000000"/>
                <w:kern w:val="0"/>
                <w:sz w:val="18"/>
                <w:szCs w:val="18"/>
              </w:rPr>
            </w:pPr>
            <w:r>
              <w:rPr>
                <w:rFonts w:hint="eastAsia" w:ascii="Times New Roman" w:hAnsi="Times New Roman" w:eastAsia="宋体" w:cs="宋体"/>
                <w:b/>
                <w:bCs/>
                <w:color w:val="000000"/>
                <w:kern w:val="0"/>
                <w:sz w:val="18"/>
                <w:szCs w:val="18"/>
              </w:rPr>
              <w:t>192</w:t>
            </w:r>
          </w:p>
        </w:tc>
        <w:tc>
          <w:tcPr>
            <w:tcW w:w="213" w:type="pct"/>
            <w:vAlign w:val="center"/>
          </w:tcPr>
          <w:p>
            <w:pPr>
              <w:widowControl/>
              <w:jc w:val="center"/>
              <w:textAlignment w:val="center"/>
              <w:rPr>
                <w:rFonts w:ascii="Times New Roman" w:hAnsi="Times New Roman" w:eastAsia="宋体" w:cs="宋体"/>
                <w:b/>
                <w:bCs/>
                <w:color w:val="000000"/>
                <w:kern w:val="0"/>
                <w:sz w:val="18"/>
                <w:szCs w:val="18"/>
              </w:rPr>
            </w:pPr>
            <w:r>
              <w:rPr>
                <w:rFonts w:hint="eastAsia" w:ascii="Times New Roman" w:hAnsi="Times New Roman" w:eastAsia="宋体" w:cs="宋体"/>
                <w:b/>
                <w:bCs/>
                <w:color w:val="000000"/>
                <w:kern w:val="0"/>
                <w:sz w:val="18"/>
                <w:szCs w:val="18"/>
              </w:rPr>
              <w:t>96</w:t>
            </w:r>
          </w:p>
        </w:tc>
        <w:tc>
          <w:tcPr>
            <w:tcW w:w="198" w:type="pct"/>
            <w:vAlign w:val="center"/>
          </w:tcPr>
          <w:p>
            <w:pPr>
              <w:widowControl/>
              <w:jc w:val="center"/>
              <w:textAlignment w:val="center"/>
              <w:rPr>
                <w:rFonts w:ascii="Times New Roman" w:hAnsi="Times New Roman" w:eastAsia="宋体" w:cs="宋体"/>
                <w:b/>
                <w:bCs/>
                <w:color w:val="000000"/>
                <w:kern w:val="0"/>
                <w:sz w:val="18"/>
                <w:szCs w:val="18"/>
              </w:rPr>
            </w:pPr>
            <w:r>
              <w:rPr>
                <w:rFonts w:hint="eastAsia" w:ascii="Times New Roman" w:hAnsi="Times New Roman" w:eastAsia="宋体" w:cs="宋体"/>
                <w:b/>
                <w:bCs/>
                <w:color w:val="000000"/>
                <w:kern w:val="0"/>
                <w:sz w:val="18"/>
                <w:szCs w:val="18"/>
              </w:rPr>
              <w:t>96</w:t>
            </w:r>
          </w:p>
        </w:tc>
        <w:tc>
          <w:tcPr>
            <w:tcW w:w="201" w:type="pct"/>
            <w:vAlign w:val="center"/>
          </w:tcPr>
          <w:p>
            <w:pPr>
              <w:widowControl/>
              <w:jc w:val="center"/>
              <w:textAlignment w:val="center"/>
              <w:rPr>
                <w:rFonts w:ascii="Times New Roman" w:hAnsi="Times New Roman" w:eastAsia="宋体" w:cs="宋体"/>
                <w:b/>
                <w:bCs/>
                <w:color w:val="000000"/>
                <w:kern w:val="0"/>
                <w:sz w:val="18"/>
                <w:szCs w:val="18"/>
              </w:rPr>
            </w:pPr>
            <w:r>
              <w:rPr>
                <w:rFonts w:hint="eastAsia" w:ascii="Times New Roman" w:hAnsi="Times New Roman" w:eastAsia="宋体" w:cs="宋体"/>
                <w:b/>
                <w:bCs/>
                <w:color w:val="000000"/>
                <w:kern w:val="0"/>
                <w:sz w:val="18"/>
                <w:szCs w:val="18"/>
              </w:rPr>
              <w:t>4</w:t>
            </w:r>
          </w:p>
        </w:tc>
        <w:tc>
          <w:tcPr>
            <w:tcW w:w="201" w:type="pct"/>
            <w:vAlign w:val="center"/>
          </w:tcPr>
          <w:p>
            <w:pPr>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0</w:t>
            </w:r>
          </w:p>
        </w:tc>
        <w:tc>
          <w:tcPr>
            <w:tcW w:w="197" w:type="pct"/>
            <w:vAlign w:val="center"/>
          </w:tcPr>
          <w:p>
            <w:pPr>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2</w:t>
            </w:r>
          </w:p>
        </w:tc>
        <w:tc>
          <w:tcPr>
            <w:tcW w:w="199" w:type="pct"/>
            <w:vAlign w:val="center"/>
          </w:tcPr>
          <w:p>
            <w:pPr>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4</w:t>
            </w:r>
          </w:p>
        </w:tc>
        <w:tc>
          <w:tcPr>
            <w:tcW w:w="201" w:type="pct"/>
            <w:vAlign w:val="center"/>
          </w:tcPr>
          <w:p>
            <w:pPr>
              <w:jc w:val="center"/>
              <w:textAlignment w:val="center"/>
              <w:rPr>
                <w:rFonts w:ascii="宋体" w:hAnsi="宋体" w:eastAsia="宋体" w:cs="宋体"/>
                <w:b/>
                <w:bCs/>
                <w:color w:val="000000" w:themeColor="text1"/>
                <w:kern w:val="0"/>
                <w:szCs w:val="21"/>
              </w:rPr>
            </w:pPr>
            <w:r>
              <w:rPr>
                <w:rFonts w:hint="eastAsia" w:ascii="宋体" w:hAnsi="宋体" w:eastAsia="宋体" w:cs="宋体"/>
                <w:b/>
                <w:bCs/>
                <w:color w:val="000000" w:themeColor="text1"/>
                <w:kern w:val="0"/>
                <w:szCs w:val="21"/>
              </w:rPr>
              <w:t>2</w:t>
            </w:r>
          </w:p>
        </w:tc>
        <w:tc>
          <w:tcPr>
            <w:tcW w:w="208" w:type="pct"/>
            <w:vAlign w:val="center"/>
          </w:tcPr>
          <w:p>
            <w:pPr>
              <w:jc w:val="center"/>
              <w:textAlignment w:val="center"/>
              <w:rPr>
                <w:rFonts w:ascii="宋体" w:hAnsi="宋体" w:eastAsia="宋体" w:cs="宋体"/>
                <w:bCs/>
                <w:color w:val="000000" w:themeColor="text1"/>
                <w:kern w:val="0"/>
                <w:szCs w:val="21"/>
              </w:rPr>
            </w:pPr>
          </w:p>
        </w:tc>
        <w:tc>
          <w:tcPr>
            <w:tcW w:w="182" w:type="pct"/>
            <w:vAlign w:val="center"/>
          </w:tcPr>
          <w:p>
            <w:pPr>
              <w:jc w:val="center"/>
              <w:textAlignment w:val="center"/>
              <w:rPr>
                <w:rFonts w:ascii="宋体" w:hAnsi="宋体" w:eastAsia="宋体" w:cs="宋体"/>
                <w:bCs/>
                <w:color w:val="000000" w:themeColor="text1"/>
                <w:kern w:val="0"/>
                <w:szCs w:val="21"/>
              </w:rPr>
            </w:pPr>
          </w:p>
        </w:tc>
        <w:tc>
          <w:tcPr>
            <w:tcW w:w="583" w:type="pct"/>
            <w:vAlign w:val="center"/>
          </w:tcPr>
          <w:p>
            <w:pPr>
              <w:jc w:val="center"/>
              <w:textAlignment w:val="center"/>
              <w:rPr>
                <w:rFonts w:ascii="宋体" w:hAnsi="宋体" w:eastAsia="宋体" w:cs="宋体"/>
                <w:bCs/>
                <w:color w:val="000000" w:themeColor="text1"/>
                <w:kern w:val="0"/>
                <w:szCs w:val="21"/>
              </w:rPr>
            </w:pPr>
          </w:p>
        </w:tc>
        <w:tc>
          <w:tcPr>
            <w:tcW w:w="307" w:type="pct"/>
            <w:vAlign w:val="center"/>
          </w:tcPr>
          <w:p>
            <w:pPr>
              <w:jc w:val="center"/>
              <w:textAlignment w:val="center"/>
              <w:rPr>
                <w:rFonts w:ascii="宋体" w:hAnsi="宋体" w:eastAsia="宋体" w:cs="宋体"/>
                <w:bCs/>
                <w:color w:val="000000" w:themeColor="text1"/>
                <w:kern w:val="0"/>
                <w:szCs w:val="21"/>
              </w:rPr>
            </w:pPr>
            <w:r>
              <w:rPr>
                <w:rFonts w:hint="eastAsia" w:ascii="Times New Roman" w:hAnsi="Times New Roman" w:eastAsia="宋体" w:cs="宋体"/>
                <w:color w:val="000000"/>
                <w:kern w:val="0"/>
                <w:sz w:val="18"/>
                <w:szCs w:val="18"/>
              </w:rPr>
              <w:t>8门选6门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14" w:type="pct"/>
            <w:gridSpan w:val="11"/>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平均周学时</w:t>
            </w:r>
          </w:p>
        </w:tc>
        <w:tc>
          <w:tcPr>
            <w:tcW w:w="201" w:type="pc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color w:val="000000"/>
                <w:kern w:val="0"/>
                <w:sz w:val="22"/>
              </w:rPr>
              <w:t>28</w:t>
            </w:r>
          </w:p>
        </w:tc>
        <w:tc>
          <w:tcPr>
            <w:tcW w:w="201" w:type="pc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color w:val="000000"/>
                <w:kern w:val="0"/>
                <w:sz w:val="22"/>
              </w:rPr>
              <w:t>27.5</w:t>
            </w:r>
          </w:p>
        </w:tc>
        <w:tc>
          <w:tcPr>
            <w:tcW w:w="197" w:type="pc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color w:val="000000"/>
                <w:kern w:val="0"/>
                <w:sz w:val="22"/>
              </w:rPr>
              <w:t>23.5</w:t>
            </w:r>
          </w:p>
        </w:tc>
        <w:tc>
          <w:tcPr>
            <w:tcW w:w="199" w:type="pc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color w:val="000000"/>
                <w:kern w:val="0"/>
                <w:sz w:val="22"/>
              </w:rPr>
              <w:t>27</w:t>
            </w:r>
          </w:p>
        </w:tc>
        <w:tc>
          <w:tcPr>
            <w:tcW w:w="201" w:type="pct"/>
            <w:vAlign w:val="center"/>
          </w:tcPr>
          <w:p>
            <w:pPr>
              <w:widowControl/>
              <w:jc w:val="center"/>
              <w:textAlignment w:val="center"/>
              <w:rPr>
                <w:rFonts w:ascii="宋体" w:hAnsi="宋体" w:eastAsia="宋体" w:cs="宋体"/>
                <w:bCs/>
                <w:color w:val="000000" w:themeColor="text1"/>
                <w:kern w:val="0"/>
                <w:szCs w:val="21"/>
              </w:rPr>
            </w:pPr>
            <w:r>
              <w:rPr>
                <w:rFonts w:hint="eastAsia" w:ascii="宋体" w:hAnsi="宋体" w:eastAsia="宋体" w:cs="宋体"/>
                <w:color w:val="000000"/>
                <w:kern w:val="0"/>
                <w:sz w:val="22"/>
              </w:rPr>
              <w:t>21</w:t>
            </w:r>
          </w:p>
        </w:tc>
        <w:tc>
          <w:tcPr>
            <w:tcW w:w="208" w:type="pct"/>
            <w:vAlign w:val="center"/>
          </w:tcPr>
          <w:p>
            <w:pPr>
              <w:jc w:val="center"/>
              <w:textAlignment w:val="center"/>
              <w:rPr>
                <w:rFonts w:ascii="宋体" w:hAnsi="宋体" w:eastAsia="宋体" w:cs="宋体"/>
                <w:bCs/>
                <w:color w:val="000000" w:themeColor="text1"/>
                <w:kern w:val="0"/>
                <w:szCs w:val="21"/>
              </w:rPr>
            </w:pPr>
          </w:p>
        </w:tc>
        <w:tc>
          <w:tcPr>
            <w:tcW w:w="182" w:type="pct"/>
            <w:vAlign w:val="center"/>
          </w:tcPr>
          <w:p>
            <w:pPr>
              <w:jc w:val="center"/>
              <w:textAlignment w:val="center"/>
              <w:rPr>
                <w:rFonts w:ascii="宋体" w:hAnsi="宋体" w:eastAsia="宋体" w:cs="宋体"/>
                <w:bCs/>
                <w:color w:val="000000" w:themeColor="text1"/>
                <w:kern w:val="0"/>
                <w:szCs w:val="21"/>
              </w:rPr>
            </w:pPr>
          </w:p>
        </w:tc>
        <w:tc>
          <w:tcPr>
            <w:tcW w:w="583" w:type="pct"/>
            <w:vAlign w:val="center"/>
          </w:tcPr>
          <w:p>
            <w:pPr>
              <w:jc w:val="center"/>
              <w:textAlignment w:val="center"/>
              <w:rPr>
                <w:rFonts w:ascii="宋体" w:hAnsi="宋体" w:eastAsia="宋体" w:cs="宋体"/>
                <w:bCs/>
                <w:color w:val="000000" w:themeColor="text1"/>
                <w:kern w:val="0"/>
                <w:szCs w:val="21"/>
              </w:rPr>
            </w:pPr>
          </w:p>
        </w:tc>
        <w:tc>
          <w:tcPr>
            <w:tcW w:w="307" w:type="pct"/>
            <w:vAlign w:val="center"/>
          </w:tcPr>
          <w:p>
            <w:pPr>
              <w:jc w:val="center"/>
              <w:textAlignment w:val="center"/>
              <w:rPr>
                <w:rFonts w:ascii="宋体" w:hAnsi="宋体" w:eastAsia="宋体" w:cs="宋体"/>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pct"/>
            <w:gridSpan w:val="7"/>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学分总计、学时总计</w:t>
            </w:r>
          </w:p>
        </w:tc>
        <w:tc>
          <w:tcPr>
            <w:tcW w:w="837"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162</w:t>
            </w:r>
          </w:p>
        </w:tc>
        <w:tc>
          <w:tcPr>
            <w:tcW w:w="800"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2862</w:t>
            </w:r>
          </w:p>
        </w:tc>
        <w:tc>
          <w:tcPr>
            <w:tcW w:w="1177" w:type="pct"/>
            <w:gridSpan w:val="4"/>
            <w:vAlign w:val="center"/>
          </w:tcPr>
          <w:p>
            <w:pPr>
              <w:jc w:val="center"/>
              <w:textAlignment w:val="center"/>
              <w:rPr>
                <w:rFonts w:ascii="宋体" w:hAnsi="宋体" w:eastAsia="宋体" w:cs="宋体"/>
                <w:bCs/>
                <w:color w:val="000000" w:themeColor="text1"/>
                <w:kern w:val="0"/>
                <w:szCs w:val="21"/>
              </w:rPr>
            </w:pPr>
          </w:p>
        </w:tc>
        <w:tc>
          <w:tcPr>
            <w:tcW w:w="307" w:type="pct"/>
            <w:vAlign w:val="center"/>
          </w:tcPr>
          <w:p>
            <w:pPr>
              <w:jc w:val="center"/>
              <w:textAlignment w:val="center"/>
              <w:rPr>
                <w:rFonts w:ascii="宋体" w:hAnsi="宋体" w:eastAsia="宋体" w:cs="宋体"/>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pct"/>
            <w:gridSpan w:val="7"/>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选修课程：学分总计、学时总计、占总学时比例</w:t>
            </w:r>
          </w:p>
        </w:tc>
        <w:tc>
          <w:tcPr>
            <w:tcW w:w="837"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18</w:t>
            </w:r>
          </w:p>
        </w:tc>
        <w:tc>
          <w:tcPr>
            <w:tcW w:w="800"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288</w:t>
            </w:r>
          </w:p>
        </w:tc>
        <w:tc>
          <w:tcPr>
            <w:tcW w:w="1177"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10.06%</w:t>
            </w:r>
          </w:p>
        </w:tc>
        <w:tc>
          <w:tcPr>
            <w:tcW w:w="307" w:type="pct"/>
            <w:vAlign w:val="center"/>
          </w:tcPr>
          <w:p>
            <w:pPr>
              <w:jc w:val="center"/>
              <w:textAlignment w:val="center"/>
              <w:rPr>
                <w:rFonts w:ascii="宋体" w:hAnsi="宋体" w:eastAsia="宋体" w:cs="宋体"/>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877" w:type="pct"/>
            <w:gridSpan w:val="7"/>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实践性教学：学时总计、占总学时比例</w:t>
            </w:r>
          </w:p>
        </w:tc>
        <w:tc>
          <w:tcPr>
            <w:tcW w:w="837"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1666</w:t>
            </w:r>
          </w:p>
        </w:tc>
        <w:tc>
          <w:tcPr>
            <w:tcW w:w="800" w:type="pct"/>
            <w:gridSpan w:val="4"/>
            <w:vAlign w:val="center"/>
          </w:tcPr>
          <w:p>
            <w:pPr>
              <w:jc w:val="center"/>
              <w:textAlignment w:val="center"/>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58.21%</w:t>
            </w:r>
          </w:p>
        </w:tc>
        <w:tc>
          <w:tcPr>
            <w:tcW w:w="1177" w:type="pct"/>
            <w:gridSpan w:val="4"/>
            <w:vAlign w:val="center"/>
          </w:tcPr>
          <w:p>
            <w:pPr>
              <w:jc w:val="center"/>
              <w:textAlignment w:val="center"/>
              <w:rPr>
                <w:rFonts w:ascii="宋体" w:hAnsi="宋体" w:eastAsia="宋体" w:cs="宋体"/>
                <w:bCs/>
                <w:color w:val="000000" w:themeColor="text1"/>
                <w:kern w:val="0"/>
                <w:szCs w:val="21"/>
              </w:rPr>
            </w:pPr>
          </w:p>
        </w:tc>
        <w:tc>
          <w:tcPr>
            <w:tcW w:w="307" w:type="pct"/>
            <w:vAlign w:val="center"/>
          </w:tcPr>
          <w:p>
            <w:pPr>
              <w:jc w:val="center"/>
              <w:textAlignment w:val="center"/>
              <w:rPr>
                <w:rFonts w:ascii="宋体" w:hAnsi="宋体" w:eastAsia="宋体" w:cs="宋体"/>
                <w:bCs/>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20"/>
            <w:vAlign w:val="center"/>
          </w:tcPr>
          <w:p>
            <w:pPr>
              <w:widowControl/>
              <w:jc w:val="left"/>
              <w:textAlignment w:val="top"/>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注：1.课堂教学周=教学活动周数（不小于20周）-实践教学周数；</w:t>
            </w:r>
          </w:p>
          <w:p>
            <w:pPr>
              <w:widowControl/>
              <w:ind w:firstLine="420" w:firstLineChars="200"/>
              <w:jc w:val="left"/>
              <w:textAlignment w:val="top"/>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2.平均周学时仅为校核各学期周学时均衡度；</w:t>
            </w:r>
          </w:p>
          <w:p>
            <w:pPr>
              <w:widowControl/>
              <w:ind w:firstLine="420" w:firstLineChars="200"/>
              <w:jc w:val="left"/>
              <w:textAlignment w:val="top"/>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3.W表示C类课程、军训训练、劳动安全教育、考试、毕业鉴定等的周数；</w:t>
            </w:r>
          </w:p>
          <w:p>
            <w:pPr>
              <w:widowControl/>
              <w:ind w:firstLine="420" w:firstLineChars="200"/>
              <w:jc w:val="left"/>
              <w:textAlignment w:val="top"/>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4.岗位实习可在5,6学期分段安排，累计不少于6个月（26周）；</w:t>
            </w:r>
          </w:p>
          <w:p>
            <w:pPr>
              <w:widowControl/>
              <w:ind w:firstLine="420" w:firstLineChars="200"/>
              <w:jc w:val="left"/>
              <w:textAlignment w:val="top"/>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5.选修课中明确各项工作和学分的转换。</w:t>
            </w:r>
          </w:p>
          <w:p>
            <w:pPr>
              <w:widowControl/>
              <w:ind w:firstLine="420" w:firstLineChars="200"/>
              <w:jc w:val="left"/>
              <w:textAlignment w:val="top"/>
              <w:rPr>
                <w:rFonts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6.标注★的为专业核心课程。</w:t>
            </w:r>
          </w:p>
          <w:p>
            <w:pPr>
              <w:widowControl/>
              <w:ind w:firstLine="420" w:firstLineChars="200"/>
              <w:jc w:val="left"/>
              <w:textAlignment w:val="top"/>
              <w:rPr>
                <w:rFonts w:ascii="宋体" w:hAnsi="宋体" w:eastAsia="宋体" w:cs="宋体"/>
                <w:bCs/>
                <w:color w:val="000000" w:themeColor="text1"/>
                <w:kern w:val="0"/>
                <w:szCs w:val="21"/>
              </w:rPr>
            </w:pPr>
            <w:r>
              <w:rPr>
                <w:rFonts w:hint="eastAsia" w:ascii="宋体" w:hAnsi="宋体" w:eastAsia="宋体" w:cs="宋体"/>
                <w:color w:val="000000" w:themeColor="text1"/>
                <w:kern w:val="0"/>
                <w:szCs w:val="21"/>
              </w:rPr>
              <w:t>7.</w:t>
            </w:r>
            <w:r>
              <w:rPr>
                <w:rFonts w:hint="eastAsia" w:ascii="宋体" w:hAnsi="宋体" w:eastAsia="宋体" w:cs="宋体"/>
                <w:bCs/>
                <w:color w:val="000000" w:themeColor="text1"/>
                <w:kern w:val="0"/>
                <w:szCs w:val="21"/>
              </w:rPr>
              <w:t>“课程类型”（A）理论课   （B）理论+实践    （C）实践课；</w:t>
            </w:r>
          </w:p>
          <w:p>
            <w:pPr>
              <w:widowControl/>
              <w:ind w:firstLine="630" w:firstLineChars="300"/>
              <w:jc w:val="left"/>
              <w:textAlignment w:val="top"/>
              <w:rPr>
                <w:rFonts w:ascii="楷体_GB2312" w:hAnsi="楷体_GB2312" w:eastAsia="楷体_GB2312" w:cs="楷体_GB2312"/>
                <w:bCs/>
                <w:color w:val="000000" w:themeColor="text1"/>
                <w:sz w:val="28"/>
                <w:szCs w:val="28"/>
              </w:rPr>
            </w:pPr>
            <w:r>
              <w:rPr>
                <w:rFonts w:hint="eastAsia" w:ascii="宋体" w:hAnsi="宋体" w:eastAsia="宋体" w:cs="宋体"/>
                <w:bCs/>
                <w:color w:val="000000" w:themeColor="text1"/>
                <w:kern w:val="0"/>
                <w:szCs w:val="21"/>
              </w:rPr>
              <w:t>“课程考核”：（A）开卷考试   （B）闭卷考试  （C）实践考核  （D）实习鉴定  （E）报告评定</w:t>
            </w:r>
          </w:p>
        </w:tc>
      </w:tr>
    </w:tbl>
    <w:p>
      <w:pPr>
        <w:pStyle w:val="84"/>
        <w:outlineLvl w:val="1"/>
        <w:rPr>
          <w:rFonts w:ascii="楷体_GB2312" w:hAnsi="楷体_GB2312" w:eastAsia="楷体_GB2312" w:cs="楷体_GB2312"/>
          <w:b w:val="0"/>
          <w:bCs/>
          <w:color w:val="000000" w:themeColor="text1"/>
          <w:sz w:val="28"/>
          <w:szCs w:val="28"/>
        </w:rPr>
      </w:pPr>
    </w:p>
    <w:p>
      <w:pPr>
        <w:pStyle w:val="84"/>
        <w:outlineLvl w:val="1"/>
        <w:rPr>
          <w:rFonts w:ascii="楷体_GB2312" w:hAnsi="楷体_GB2312" w:eastAsia="楷体_GB2312" w:cs="楷体_GB2312"/>
          <w:b w:val="0"/>
          <w:bCs/>
          <w:color w:val="000000" w:themeColor="text1"/>
          <w:sz w:val="28"/>
          <w:szCs w:val="28"/>
        </w:rPr>
        <w:sectPr>
          <w:headerReference r:id="rId5" w:type="default"/>
          <w:footerReference r:id="rId6" w:type="default"/>
          <w:pgSz w:w="16838" w:h="11906" w:orient="landscape"/>
          <w:pgMar w:top="1418" w:right="1134" w:bottom="244" w:left="1134" w:header="964" w:footer="1304" w:gutter="0"/>
          <w:cols w:space="720" w:num="1"/>
          <w:docGrid w:linePitch="312" w:charSpace="0"/>
        </w:sectPr>
      </w:pPr>
    </w:p>
    <w:bookmarkEnd w:id="32"/>
    <w:bookmarkEnd w:id="33"/>
    <w:p>
      <w:pPr>
        <w:pStyle w:val="35"/>
        <w:spacing w:line="480" w:lineRule="exact"/>
        <w:ind w:left="279" w:leftChars="133" w:firstLine="280" w:firstLineChars="100"/>
        <w:rPr>
          <w:rFonts w:ascii="黑体" w:hAnsi="黑体" w:eastAsia="黑体" w:cs="黑体"/>
          <w:b w:val="0"/>
          <w:bCs/>
          <w:color w:val="000000" w:themeColor="text1"/>
        </w:rPr>
      </w:pPr>
      <w:bookmarkStart w:id="38" w:name="_Toc31424"/>
      <w:bookmarkStart w:id="39" w:name="_Toc38201841"/>
      <w:bookmarkStart w:id="40" w:name="_Toc38299254"/>
      <w:bookmarkStart w:id="41" w:name="_Hlk98766987"/>
      <w:r>
        <w:rPr>
          <w:rFonts w:hint="eastAsia" w:ascii="黑体" w:hAnsi="黑体" w:eastAsia="黑体" w:cs="黑体"/>
          <w:b w:val="0"/>
          <w:bCs/>
          <w:color w:val="000000" w:themeColor="text1"/>
        </w:rPr>
        <w:t>八、实施与保障</w:t>
      </w:r>
      <w:bookmarkEnd w:id="38"/>
      <w:bookmarkEnd w:id="39"/>
      <w:bookmarkEnd w:id="40"/>
    </w:p>
    <w:bookmarkEnd w:id="41"/>
    <w:p>
      <w:pPr>
        <w:snapToGrid w:val="0"/>
        <w:spacing w:line="480" w:lineRule="exact"/>
        <w:ind w:firstLine="560" w:firstLineChars="200"/>
        <w:outlineLvl w:val="1"/>
        <w:rPr>
          <w:rFonts w:ascii="楷体_GB2312" w:hAnsi="楷体_GB2312" w:eastAsia="楷体_GB2312" w:cs="楷体_GB2312"/>
          <w:bCs/>
          <w:color w:val="000000" w:themeColor="text1"/>
          <w:sz w:val="28"/>
          <w:szCs w:val="28"/>
        </w:rPr>
      </w:pPr>
      <w:bookmarkStart w:id="42" w:name="_Toc25638"/>
      <w:r>
        <w:rPr>
          <w:rFonts w:hint="eastAsia" w:ascii="楷体_GB2312" w:hAnsi="楷体_GB2312" w:eastAsia="楷体_GB2312" w:cs="楷体_GB2312"/>
          <w:bCs/>
          <w:color w:val="000000" w:themeColor="text1"/>
          <w:sz w:val="28"/>
          <w:szCs w:val="28"/>
        </w:rPr>
        <w:t>（一）师资队伍</w:t>
      </w:r>
      <w:bookmarkEnd w:id="42"/>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1.专业带头人</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专业带头人邬振江，副教授职称，科研处处长，有丰富的行业企业资源，，了解行业企业对本专业人才的需求实际，能够正确的把握专业发展方向，教学设计、专业研究能力强，组织开展教科研工作能力强，在鄂尔多斯周边地区的农业领域具有一定的专业影响力。</w:t>
      </w: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2.骨干教师</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园艺技术专业教学团队教育理念先进，专业知识丰富，教学中能与时俱进紧密结合实践，对行业人才需求及技术更新动态把握准确。教师总数为9人，其中专任教师6人，行政兼课3人，生师比10:1。具有教授1人，副教授6人，中级职称2人，高级职称占比78%；学历层面博士1人，硕士4人，本科4人；双师型教师6人，占比78%。</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rPr>
      </w:pPr>
      <w:bookmarkStart w:id="43" w:name="_Toc31426"/>
      <w:r>
        <w:rPr>
          <w:rFonts w:hint="eastAsia" w:ascii="楷体_GB2312" w:hAnsi="楷体_GB2312" w:eastAsia="楷体_GB2312" w:cs="楷体_GB2312"/>
          <w:bCs/>
          <w:color w:val="000000" w:themeColor="text1"/>
          <w:sz w:val="28"/>
          <w:szCs w:val="28"/>
        </w:rPr>
        <w:t>（二）教学设施</w:t>
      </w:r>
      <w:bookmarkEnd w:id="43"/>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1.校内实践教学条件</w:t>
      </w:r>
    </w:p>
    <w:p>
      <w:pPr>
        <w:snapToGrid w:val="0"/>
        <w:spacing w:line="480" w:lineRule="exact"/>
        <w:ind w:firstLine="560"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color w:val="000000" w:themeColor="text1"/>
          <w:sz w:val="28"/>
          <w:szCs w:val="28"/>
        </w:rPr>
        <w:t>园艺技术专业校内实训场地、设施、设备等同生态工程系园林、休闲农业专业共同使用，实训场地、设施、设备较为完善，基本满足日常实训教学。实训教学场地有土壤分析实验室、植物生理实验室、植物病理实验室、插花实训室、植物标本馆、植物保护馆、智能温室1栋、试验田10亩。</w:t>
      </w:r>
    </w:p>
    <w:tbl>
      <w:tblPr>
        <w:tblStyle w:val="27"/>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02"/>
        <w:gridCol w:w="4006"/>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spacing w:line="520" w:lineRule="exact"/>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序号</w:t>
            </w:r>
          </w:p>
        </w:tc>
        <w:tc>
          <w:tcPr>
            <w:tcW w:w="1802" w:type="dxa"/>
            <w:shd w:val="clear" w:color="auto" w:fill="auto"/>
            <w:vAlign w:val="center"/>
          </w:tcPr>
          <w:p>
            <w:pPr>
              <w:snapToGrid w:val="0"/>
              <w:spacing w:line="520" w:lineRule="exact"/>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名称</w:t>
            </w:r>
          </w:p>
        </w:tc>
        <w:tc>
          <w:tcPr>
            <w:tcW w:w="4006" w:type="dxa"/>
            <w:shd w:val="clear" w:color="auto" w:fill="auto"/>
            <w:vAlign w:val="center"/>
          </w:tcPr>
          <w:p>
            <w:pPr>
              <w:snapToGrid w:val="0"/>
              <w:spacing w:line="520" w:lineRule="exact"/>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主要设备</w:t>
            </w:r>
          </w:p>
        </w:tc>
        <w:tc>
          <w:tcPr>
            <w:tcW w:w="2153" w:type="dxa"/>
            <w:shd w:val="clear" w:color="auto" w:fill="auto"/>
            <w:vAlign w:val="center"/>
          </w:tcPr>
          <w:p>
            <w:pPr>
              <w:snapToGrid w:val="0"/>
              <w:spacing w:line="520" w:lineRule="exact"/>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服务本专业课程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1</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土壤分析实验室</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凯氏定氮仪、烘箱、灭菌锅、分光光度计</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土壤与肥料学、园艺产品加工贮藏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2</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植物生理实验室</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天平、显微镜、光合速测仪</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植物学、植物生理学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3</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植物病理实验室</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PCR、制冰机、制水机、凝胶成型系统、显微镜、-80冰箱、高压灭菌锅、超净工作台、超速冷冻离心机</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园艺植物病虫害防治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4</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插花实训室</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电钻、冷藏柜</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插画与花艺设计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5</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植物标本馆</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腊叶标本、浸渍标本</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植物学、园艺植识别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6</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植物保护馆</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昆虫标本</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园艺植物病虫害防治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7</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智能温室</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喷灌系统、通风系统、遮阳系统、补光系统</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花卉生产技术、蔬菜生产技术、设施园艺、果树生产技术、园艺机械与设施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8</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试验田</w:t>
            </w: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旋耕机、滴灌装置</w:t>
            </w: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设施园艺、果树生产技术、草坪种植与养护、园艺机械与设施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9</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10</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shd w:val="clear" w:color="auto" w:fill="auto"/>
            <w:vAlign w:val="center"/>
          </w:tcPr>
          <w:p>
            <w:pPr>
              <w:snapToGrid w:val="0"/>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11</w:t>
            </w:r>
          </w:p>
        </w:tc>
        <w:tc>
          <w:tcPr>
            <w:tcW w:w="1802" w:type="dxa"/>
            <w:shd w:val="clear" w:color="auto" w:fill="auto"/>
            <w:vAlign w:val="center"/>
          </w:tcPr>
          <w:p>
            <w:pPr>
              <w:snapToGrid w:val="0"/>
              <w:jc w:val="center"/>
              <w:rPr>
                <w:rFonts w:asciiTheme="minorEastAsia" w:hAnsiTheme="minorEastAsia" w:cstheme="minorEastAsia"/>
                <w:color w:val="000000" w:themeColor="text1"/>
                <w:szCs w:val="21"/>
              </w:rPr>
            </w:pPr>
          </w:p>
        </w:tc>
        <w:tc>
          <w:tcPr>
            <w:tcW w:w="4006" w:type="dxa"/>
            <w:shd w:val="clear" w:color="auto" w:fill="auto"/>
            <w:vAlign w:val="center"/>
          </w:tcPr>
          <w:p>
            <w:pPr>
              <w:snapToGrid w:val="0"/>
              <w:jc w:val="center"/>
              <w:rPr>
                <w:rFonts w:asciiTheme="minorEastAsia" w:hAnsiTheme="minorEastAsia" w:cstheme="minorEastAsia"/>
                <w:color w:val="000000" w:themeColor="text1"/>
                <w:szCs w:val="21"/>
              </w:rPr>
            </w:pPr>
          </w:p>
        </w:tc>
        <w:tc>
          <w:tcPr>
            <w:tcW w:w="2153" w:type="dxa"/>
            <w:shd w:val="clear" w:color="auto" w:fill="auto"/>
            <w:vAlign w:val="center"/>
          </w:tcPr>
          <w:p>
            <w:pPr>
              <w:snapToGrid w:val="0"/>
              <w:jc w:val="center"/>
              <w:rPr>
                <w:rFonts w:asciiTheme="minorEastAsia" w:hAnsiTheme="minorEastAsia" w:cstheme="minorEastAsia"/>
                <w:color w:val="000000" w:themeColor="text1"/>
                <w:szCs w:val="21"/>
              </w:rPr>
            </w:pPr>
          </w:p>
        </w:tc>
      </w:tr>
    </w:tbl>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2.校外实践教学条件</w:t>
      </w:r>
    </w:p>
    <w:p>
      <w:pPr>
        <w:snapToGrid w:val="0"/>
        <w:spacing w:line="480" w:lineRule="exact"/>
        <w:ind w:firstLine="560" w:firstLineChars="200"/>
        <w:rPr>
          <w:rFonts w:ascii="仿宋_GB2312" w:hAnsi="仿宋_GB2312" w:eastAsia="仿宋_GB2312" w:cs="仿宋_GB2312"/>
          <w:bCs/>
          <w:color w:val="000000" w:themeColor="text1"/>
          <w:sz w:val="28"/>
          <w:szCs w:val="28"/>
        </w:rPr>
      </w:pPr>
      <w:bookmarkStart w:id="44" w:name="_Toc4916"/>
      <w:r>
        <w:rPr>
          <w:rFonts w:hint="eastAsia" w:ascii="仿宋_GB2312" w:hAnsi="仿宋_GB2312" w:eastAsia="仿宋_GB2312" w:cs="仿宋_GB2312"/>
          <w:bCs/>
          <w:color w:val="000000" w:themeColor="text1"/>
          <w:sz w:val="28"/>
          <w:szCs w:val="28"/>
        </w:rPr>
        <w:t>与我院进行校企合作单位提供校外实训场地。目前能够为园艺专业人才培养提供校外实训场地的单位有：北京绿京华生态园林有限公司、北京顺鑫农业股份有限公司、伊旗园林局苗圃基地。园艺专业学生的跟岗实习与顶岗实习生均可在以上单位完成。</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rPr>
      </w:pPr>
      <w:r>
        <w:rPr>
          <w:rFonts w:hint="eastAsia" w:ascii="楷体_GB2312" w:hAnsi="楷体_GB2312" w:eastAsia="楷体_GB2312" w:cs="楷体_GB2312"/>
          <w:bCs/>
          <w:color w:val="000000" w:themeColor="text1"/>
          <w:sz w:val="28"/>
          <w:szCs w:val="28"/>
        </w:rPr>
        <w:t>（三）教学资源</w:t>
      </w:r>
      <w:bookmarkEnd w:id="44"/>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教学资源主要包括能够满足学生专业学习、教师专业教学研究和教学实施所需的教材、图书文献及数字教学资源等。</w:t>
      </w: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1.教材选用</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本专业选用的教材多数为高职类十三五规划教材，知识难度适中，实训内容丰富，适合教师教学参考，也可作为学生自学教材。</w:t>
      </w:r>
    </w:p>
    <w:p>
      <w:pPr>
        <w:spacing w:line="360" w:lineRule="auto"/>
        <w:jc w:val="center"/>
        <w:rPr>
          <w:b/>
          <w:bCs/>
          <w:szCs w:val="21"/>
        </w:rPr>
      </w:pPr>
    </w:p>
    <w:p>
      <w:pPr>
        <w:spacing w:line="360" w:lineRule="auto"/>
        <w:jc w:val="center"/>
        <w:rPr>
          <w:szCs w:val="21"/>
        </w:rPr>
      </w:pPr>
      <w:r>
        <w:rPr>
          <w:rFonts w:hint="eastAsia"/>
          <w:b/>
          <w:bCs/>
          <w:szCs w:val="21"/>
        </w:rPr>
        <w:t>园艺专业教材信息表</w:t>
      </w:r>
    </w:p>
    <w:tbl>
      <w:tblPr>
        <w:tblStyle w:val="27"/>
        <w:tblW w:w="10495" w:type="dxa"/>
        <w:jc w:val="center"/>
        <w:tblLayout w:type="fixed"/>
        <w:tblCellMar>
          <w:top w:w="0" w:type="dxa"/>
          <w:left w:w="0" w:type="dxa"/>
          <w:bottom w:w="0" w:type="dxa"/>
          <w:right w:w="0" w:type="dxa"/>
        </w:tblCellMar>
      </w:tblPr>
      <w:tblGrid>
        <w:gridCol w:w="2657"/>
        <w:gridCol w:w="3244"/>
        <w:gridCol w:w="2509"/>
        <w:gridCol w:w="2085"/>
      </w:tblGrid>
      <w:tr>
        <w:tblPrEx>
          <w:tblCellMar>
            <w:top w:w="0" w:type="dxa"/>
            <w:left w:w="0" w:type="dxa"/>
            <w:bottom w:w="0" w:type="dxa"/>
            <w:right w:w="0" w:type="dxa"/>
          </w:tblCellMar>
        </w:tblPrEx>
        <w:trPr>
          <w:trHeight w:val="90"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2" w:firstLineChars="200"/>
              <w:jc w:val="center"/>
              <w:rPr>
                <w:rFonts w:ascii="Times New Roman" w:hAnsi="Times New Roman" w:eastAsia="宋体" w:cs="宋体"/>
                <w:b/>
                <w:bCs/>
                <w:szCs w:val="24"/>
              </w:rPr>
            </w:pPr>
            <w:r>
              <w:rPr>
                <w:rFonts w:hint="eastAsia" w:ascii="Times New Roman" w:hAnsi="Times New Roman" w:eastAsia="宋体" w:cs="宋体"/>
                <w:b/>
                <w:bCs/>
                <w:szCs w:val="24"/>
              </w:rPr>
              <w:t>教学用书名</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2" w:firstLineChars="200"/>
              <w:jc w:val="center"/>
              <w:rPr>
                <w:rFonts w:ascii="Times New Roman" w:hAnsi="Times New Roman" w:eastAsia="宋体" w:cs="宋体"/>
                <w:b/>
                <w:bCs/>
                <w:szCs w:val="24"/>
              </w:rPr>
            </w:pPr>
            <w:r>
              <w:rPr>
                <w:rFonts w:hint="eastAsia" w:ascii="Times New Roman" w:hAnsi="Times New Roman" w:eastAsia="宋体" w:cs="宋体"/>
                <w:b/>
                <w:bCs/>
                <w:szCs w:val="24"/>
              </w:rPr>
              <w:t>书号</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2" w:firstLineChars="200"/>
              <w:jc w:val="center"/>
              <w:rPr>
                <w:rFonts w:ascii="Times New Roman" w:hAnsi="Times New Roman" w:eastAsia="宋体" w:cs="宋体"/>
                <w:b/>
                <w:bCs/>
                <w:szCs w:val="24"/>
              </w:rPr>
            </w:pPr>
            <w:r>
              <w:rPr>
                <w:rFonts w:hint="eastAsia" w:ascii="Times New Roman" w:hAnsi="Times New Roman" w:eastAsia="宋体" w:cs="宋体"/>
                <w:b/>
                <w:bCs/>
                <w:szCs w:val="24"/>
              </w:rPr>
              <w:t>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2" w:firstLineChars="200"/>
              <w:jc w:val="center"/>
              <w:rPr>
                <w:rFonts w:ascii="Times New Roman" w:hAnsi="Times New Roman" w:eastAsia="宋体" w:cs="宋体"/>
                <w:b/>
                <w:bCs/>
                <w:szCs w:val="24"/>
              </w:rPr>
            </w:pPr>
            <w:r>
              <w:rPr>
                <w:rFonts w:hint="eastAsia" w:ascii="Times New Roman" w:hAnsi="Times New Roman" w:eastAsia="宋体" w:cs="宋体"/>
                <w:b/>
                <w:bCs/>
                <w:szCs w:val="24"/>
              </w:rPr>
              <w:t>编著者</w:t>
            </w:r>
          </w:p>
        </w:tc>
      </w:tr>
      <w:tr>
        <w:tblPrEx>
          <w:tblCellMar>
            <w:top w:w="0" w:type="dxa"/>
            <w:left w:w="0" w:type="dxa"/>
            <w:bottom w:w="0" w:type="dxa"/>
            <w:right w:w="0" w:type="dxa"/>
          </w:tblCellMar>
        </w:tblPrEx>
        <w:trPr>
          <w:trHeight w:val="423"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《园林植物景观设计与应用》</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978-7-5083-7404-8</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中国电力出版社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刘荣凤</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《园艺产品贮藏与加工》</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978-7-1115-1194-6</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机械工业出版社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张清丽</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《植物组织培养教程》</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978-7-5655-0978-0</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中国农业大学出版社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王振龙</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《食用菌栽培》</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978-7-04-023534-0</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高等教育出版社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黄毅</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《草坪建植与养护》</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ISBN-987-7-5655-0564-5</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中国农业大学出版社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赵燕</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《园艺机械与设施》</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978-7-109-21730-0</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中国农业出版社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许太白</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《农业技术与推广》</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978-7-5655-1589-7</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中国农业大学出版社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王守国</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《观光农业概论》</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978-7-5038-5661-7</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中国林业出版社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潘贤丽</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《花卉生产技术》</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ISBN 978-7-5165-0148-1</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航空工业出版社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潘伟</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《果树生产技术》</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978-7-109-17306-4</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中国农业出版社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ind w:firstLine="420" w:firstLineChars="200"/>
              <w:jc w:val="center"/>
              <w:rPr>
                <w:rFonts w:ascii="Times New Roman" w:hAnsi="Times New Roman" w:eastAsia="宋体" w:cs="宋体"/>
                <w:szCs w:val="24"/>
              </w:rPr>
            </w:pPr>
            <w:r>
              <w:rPr>
                <w:rFonts w:hint="eastAsia" w:ascii="Times New Roman" w:hAnsi="Times New Roman" w:eastAsia="宋体" w:cs="宋体"/>
                <w:szCs w:val="24"/>
              </w:rPr>
              <w:t>陈登文</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《蔬菜生产技术》</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ISBN-987-7-109-20209-2</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中国农业出版社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韩世栋</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《园艺植物病虫害防治》</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978-7-04-028811-7</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高等教育出版社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费显伟</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《插花与花艺设计》</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978-7-5624-8114-0</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重庆大学出版社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鲁朝辉</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《农业气象学》</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978-7-109-14431-6</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中国农业出版社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阎凌云</w:t>
            </w:r>
          </w:p>
        </w:tc>
      </w:tr>
      <w:tr>
        <w:tblPrEx>
          <w:tblCellMar>
            <w:top w:w="0" w:type="dxa"/>
            <w:left w:w="0" w:type="dxa"/>
            <w:bottom w:w="0" w:type="dxa"/>
            <w:right w:w="0" w:type="dxa"/>
          </w:tblCellMar>
        </w:tblPrEx>
        <w:trPr>
          <w:trHeight w:val="392"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《农业应用化学》</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978-7-5655-0949-0</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中国农业大学出版社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童岩</w:t>
            </w:r>
          </w:p>
        </w:tc>
      </w:tr>
      <w:tr>
        <w:tblPrEx>
          <w:tblCellMar>
            <w:top w:w="0" w:type="dxa"/>
            <w:left w:w="0" w:type="dxa"/>
            <w:bottom w:w="0" w:type="dxa"/>
            <w:right w:w="0" w:type="dxa"/>
          </w:tblCellMar>
        </w:tblPrEx>
        <w:trPr>
          <w:trHeight w:val="498"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《植物生产与环境》</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978-7-04-037701-9</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高等教育出版社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宋志伟</w:t>
            </w:r>
          </w:p>
        </w:tc>
      </w:tr>
      <w:tr>
        <w:tblPrEx>
          <w:tblCellMar>
            <w:top w:w="0" w:type="dxa"/>
            <w:left w:w="0" w:type="dxa"/>
            <w:bottom w:w="0" w:type="dxa"/>
            <w:right w:w="0" w:type="dxa"/>
          </w:tblCellMar>
        </w:tblPrEx>
        <w:trPr>
          <w:trHeight w:val="428"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《观赏园艺植物识别》</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978-7-5029-5081-1</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气象出版社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刘克峰</w:t>
            </w:r>
          </w:p>
        </w:tc>
      </w:tr>
      <w:tr>
        <w:tblPrEx>
          <w:tblCellMar>
            <w:top w:w="0" w:type="dxa"/>
            <w:left w:w="0" w:type="dxa"/>
            <w:bottom w:w="0" w:type="dxa"/>
            <w:right w:w="0" w:type="dxa"/>
          </w:tblCellMar>
        </w:tblPrEx>
        <w:trPr>
          <w:trHeight w:val="418"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《设施园艺》</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978-7-5655-1947-5</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中国农业大学出版社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韩世栋</w:t>
            </w:r>
          </w:p>
        </w:tc>
      </w:tr>
      <w:tr>
        <w:tblPrEx>
          <w:tblCellMar>
            <w:top w:w="0" w:type="dxa"/>
            <w:left w:w="0" w:type="dxa"/>
            <w:bottom w:w="0" w:type="dxa"/>
            <w:right w:w="0" w:type="dxa"/>
          </w:tblCellMar>
        </w:tblPrEx>
        <w:trPr>
          <w:trHeight w:val="413"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《实用美术基础》</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978-7-04-039861-8</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高等教育出版社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郑向虹</w:t>
            </w:r>
          </w:p>
        </w:tc>
      </w:tr>
      <w:tr>
        <w:tblPrEx>
          <w:tblCellMar>
            <w:top w:w="0" w:type="dxa"/>
            <w:left w:w="0" w:type="dxa"/>
            <w:bottom w:w="0" w:type="dxa"/>
            <w:right w:w="0" w:type="dxa"/>
          </w:tblCellMar>
        </w:tblPrEx>
        <w:trPr>
          <w:trHeight w:val="353"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《农产品营销》</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978-7-5655-1947-0</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清华大学出版社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陈国胜</w:t>
            </w:r>
          </w:p>
        </w:tc>
      </w:tr>
      <w:tr>
        <w:tblPrEx>
          <w:tblCellMar>
            <w:top w:w="0" w:type="dxa"/>
            <w:left w:w="0" w:type="dxa"/>
            <w:bottom w:w="0" w:type="dxa"/>
            <w:right w:w="0" w:type="dxa"/>
          </w:tblCellMar>
        </w:tblPrEx>
        <w:trPr>
          <w:trHeight w:val="438" w:hRule="atLeast"/>
          <w:jc w:val="center"/>
        </w:trPr>
        <w:tc>
          <w:tcPr>
            <w:tcW w:w="2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《园林工程预决算》</w:t>
            </w:r>
          </w:p>
        </w:tc>
        <w:tc>
          <w:tcPr>
            <w:tcW w:w="3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ISBN 978-7-111-59109-2</w:t>
            </w:r>
          </w:p>
        </w:tc>
        <w:tc>
          <w:tcPr>
            <w:tcW w:w="2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机械工业出版社</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宋体" w:cs="宋体"/>
                <w:szCs w:val="24"/>
              </w:rPr>
            </w:pPr>
            <w:r>
              <w:rPr>
                <w:rFonts w:hint="eastAsia" w:ascii="Times New Roman" w:hAnsi="Times New Roman" w:eastAsia="宋体" w:cs="宋体"/>
                <w:szCs w:val="24"/>
              </w:rPr>
              <w:t>陈振锋</w:t>
            </w:r>
          </w:p>
        </w:tc>
      </w:tr>
    </w:tbl>
    <w:p>
      <w:pPr>
        <w:jc w:val="left"/>
      </w:pP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2.图书文献配备基本要求</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学院图书馆建设面积2000多平方米，设有电子阅览室、报纸期刊阅览室、图书室等，平均纸质图书藏量30万册以上，其中专业图书达60%；年购置纸质图书费用生均40元以上；本专业的相关报刊总类不少于20种；图书文献配备能满足人才培养、专业建设、教科研等工作的需要，方便师生查询、借阅。在每座教学楼放置了超星电子阅览器，方便学生随时阅读；为教师和学生购买了中国知网数据库，为专业发展提供了强有力的保障。</w:t>
      </w:r>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3.数字教学资源配置</w:t>
      </w:r>
    </w:p>
    <w:p>
      <w:pPr>
        <w:snapToGrid w:val="0"/>
        <w:spacing w:line="480" w:lineRule="exact"/>
        <w:ind w:firstLine="560" w:firstLineChars="200"/>
        <w:rPr>
          <w:rFonts w:ascii="仿宋_GB2312" w:hAnsi="仿宋_GB2312" w:eastAsia="仿宋_GB2312" w:cs="仿宋_GB2312"/>
          <w:bCs/>
          <w:color w:val="000000" w:themeColor="text1"/>
          <w:sz w:val="28"/>
          <w:szCs w:val="28"/>
        </w:rPr>
      </w:pPr>
      <w:r>
        <w:rPr>
          <w:rFonts w:hint="eastAsia" w:ascii="仿宋_GB2312" w:hAnsi="仿宋_GB2312" w:eastAsia="仿宋_GB2312" w:cs="仿宋_GB2312"/>
          <w:bCs/>
          <w:color w:val="000000" w:themeColor="text1"/>
          <w:sz w:val="28"/>
          <w:szCs w:val="28"/>
        </w:rPr>
        <w:t>教室与实验室均配有多媒体、无线网络可满足音视频素材、教学课件、数字化教学案例库、虚拟仿真软件、数字教材的播放。</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rPr>
      </w:pPr>
      <w:bookmarkStart w:id="45" w:name="_Toc30455"/>
      <w:r>
        <w:rPr>
          <w:rFonts w:hint="eastAsia" w:ascii="楷体_GB2312" w:hAnsi="楷体_GB2312" w:eastAsia="楷体_GB2312" w:cs="楷体_GB2312"/>
          <w:bCs/>
          <w:color w:val="000000" w:themeColor="text1"/>
          <w:sz w:val="28"/>
          <w:szCs w:val="28"/>
        </w:rPr>
        <w:t>（四）教学方法</w:t>
      </w:r>
      <w:bookmarkEnd w:id="45"/>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1.教学方法</w:t>
      </w:r>
    </w:p>
    <w:p>
      <w:pPr>
        <w:snapToGrid w:val="0"/>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断探索教学模式和教学方法的改革与创新，探索任务驱动、项目导向等有利于增强学生能力的教学模式，探索课堂与实习地点一体化，学生在教师和技术人员的共同指导下学习和实践，实现教室与田间合一，在真实职业情境中实施教学，教学方法以边讲边练、讲练结合为主，强化学生能力培养。</w:t>
      </w:r>
    </w:p>
    <w:p>
      <w:pPr>
        <w:snapToGrid w:val="0"/>
        <w:spacing w:line="480" w:lineRule="exact"/>
        <w:ind w:firstLine="562"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b/>
          <w:color w:val="000000" w:themeColor="text1"/>
          <w:sz w:val="28"/>
          <w:szCs w:val="28"/>
        </w:rPr>
        <w:t>2.教学手段</w:t>
      </w:r>
    </w:p>
    <w:p>
      <w:pPr>
        <w:snapToGrid w:val="0"/>
        <w:spacing w:line="480" w:lineRule="exact"/>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充分运用现代教育技术，通过实物展示、动画演示、视频资料，将比较复杂的操作过程利用生动的图像及动画形式进行虚拟演示，优化教学过程，给学生比较强烈的直观感受，有助于学生理解，同时使课堂教学生动活泼、引人入胜，提高教学质量和效率。</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rPr>
      </w:pPr>
      <w:bookmarkStart w:id="46" w:name="_Toc16020"/>
      <w:r>
        <w:rPr>
          <w:rFonts w:hint="eastAsia" w:ascii="楷体_GB2312" w:hAnsi="楷体_GB2312" w:eastAsia="楷体_GB2312" w:cs="楷体_GB2312"/>
          <w:bCs/>
          <w:color w:val="000000" w:themeColor="text1"/>
          <w:sz w:val="28"/>
          <w:szCs w:val="28"/>
        </w:rPr>
        <w:t>（五）学习评价</w:t>
      </w:r>
      <w:bookmarkEnd w:id="46"/>
    </w:p>
    <w:p>
      <w:pPr>
        <w:snapToGrid w:val="0"/>
        <w:spacing w:line="480" w:lineRule="exact"/>
        <w:ind w:firstLine="560"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pPr>
        <w:snapToGrid w:val="0"/>
        <w:spacing w:line="480" w:lineRule="exact"/>
        <w:ind w:firstLine="560" w:firstLineChars="200"/>
        <w:outlineLvl w:val="1"/>
        <w:rPr>
          <w:rFonts w:ascii="楷体_GB2312" w:hAnsi="楷体_GB2312" w:eastAsia="楷体_GB2312" w:cs="楷体_GB2312"/>
          <w:bCs/>
          <w:color w:val="000000" w:themeColor="text1"/>
          <w:sz w:val="28"/>
          <w:szCs w:val="28"/>
        </w:rPr>
      </w:pPr>
      <w:bookmarkStart w:id="47" w:name="_Toc24701"/>
      <w:r>
        <w:rPr>
          <w:rFonts w:hint="eastAsia" w:ascii="楷体_GB2312" w:hAnsi="楷体_GB2312" w:eastAsia="楷体_GB2312" w:cs="楷体_GB2312"/>
          <w:bCs/>
          <w:color w:val="000000" w:themeColor="text1"/>
          <w:sz w:val="28"/>
          <w:szCs w:val="28"/>
        </w:rPr>
        <w:t>（六）质量管理</w:t>
      </w:r>
      <w:bookmarkEnd w:id="47"/>
    </w:p>
    <w:p>
      <w:pPr>
        <w:snapToGrid w:val="0"/>
        <w:spacing w:line="480" w:lineRule="exact"/>
        <w:ind w:firstLine="562" w:firstLineChars="200"/>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1.组织保障</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学院实施院、系（部）二级教学质量管理机制。</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（1）学院相关部门实施一级管理</w:t>
      </w:r>
    </w:p>
    <w:p>
      <w:pPr>
        <w:spacing w:line="480" w:lineRule="exact"/>
        <w:ind w:firstLine="562"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sz w:val="28"/>
          <w:szCs w:val="28"/>
        </w:rPr>
        <w:t>专业建设委员会：</w:t>
      </w:r>
      <w:r>
        <w:rPr>
          <w:rFonts w:hint="eastAsia" w:ascii="仿宋_GB2312" w:hAnsi="仿宋_GB2312" w:eastAsia="仿宋_GB2312" w:cs="仿宋_GB2312"/>
          <w:color w:val="000000" w:themeColor="text1"/>
          <w:sz w:val="28"/>
          <w:szCs w:val="28"/>
        </w:rPr>
        <w:t>行使学院教学指导职能。主要监控专业人才培养目标定位、重大教学改革方案和人才培养方案的制定、修订，实验实训室建设等。</w:t>
      </w:r>
    </w:p>
    <w:p>
      <w:pPr>
        <w:spacing w:line="480" w:lineRule="exact"/>
        <w:ind w:firstLine="562" w:firstLineChars="200"/>
        <w:jc w:val="left"/>
        <w:rPr>
          <w:rFonts w:ascii="仿宋_GB2312" w:hAnsi="仿宋_GB2312" w:eastAsia="仿宋_GB2312" w:cs="仿宋_GB2312"/>
          <w:color w:val="000000" w:themeColor="text1"/>
          <w:sz w:val="28"/>
          <w:szCs w:val="28"/>
          <w:shd w:val="clear" w:color="auto" w:fill="FFFFFF"/>
        </w:rPr>
      </w:pPr>
      <w:r>
        <w:rPr>
          <w:rFonts w:hint="eastAsia" w:ascii="仿宋_GB2312" w:hAnsi="仿宋_GB2312" w:eastAsia="仿宋_GB2312" w:cs="仿宋_GB2312"/>
          <w:b/>
          <w:bCs/>
          <w:color w:val="000000" w:themeColor="text1"/>
          <w:sz w:val="28"/>
          <w:szCs w:val="28"/>
        </w:rPr>
        <w:t>职能部门：</w:t>
      </w:r>
      <w:r>
        <w:rPr>
          <w:rFonts w:hint="eastAsia" w:ascii="仿宋_GB2312" w:hAnsi="仿宋_GB2312" w:eastAsia="仿宋_GB2312" w:cs="仿宋_GB2312"/>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（2）各系（部）实施二级管理</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pPr>
        <w:spacing w:line="480" w:lineRule="exact"/>
        <w:ind w:firstLine="562" w:firstLineChars="200"/>
        <w:jc w:val="left"/>
        <w:rPr>
          <w:rFonts w:ascii="仿宋_GB2312" w:hAnsi="仿宋_GB2312" w:eastAsia="仿宋_GB2312" w:cs="仿宋_GB2312"/>
          <w:b/>
          <w:color w:val="000000" w:themeColor="text1"/>
          <w:sz w:val="28"/>
          <w:szCs w:val="28"/>
        </w:rPr>
      </w:pPr>
      <w:r>
        <w:rPr>
          <w:rFonts w:hint="eastAsia" w:ascii="仿宋_GB2312" w:hAnsi="仿宋_GB2312" w:eastAsia="仿宋_GB2312" w:cs="仿宋_GB2312"/>
          <w:b/>
          <w:color w:val="000000" w:themeColor="text1"/>
          <w:sz w:val="28"/>
          <w:szCs w:val="28"/>
        </w:rPr>
        <w:t>2.制度保障</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（1）教学运行及教学管理相关检查制度</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每学期开展期中、期末两次集中教学检查，教学检查覆盖教师教学的备课、课堂讲授、作业批改、实验实习、辅导答疑、考试、阅卷、试卷分析、毕业汇报等教学全过程。</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（2）师资队伍建设制度</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（3）听课制度</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（4）教师教学质量考核制度</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建立教师考核制度，通过学生评教、教师互评、系部评教的形式，对每一位教师的课堂教学工作做出合理的评价。</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（5）毕业生跟踪调查制度</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由各系向用人单位了解毕业生在社会的反响，向毕业生了解学校课程体系和教学内容的社会适应性，根据反馈的信息及时调整培养方案和进行教学改革。</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（6）校企合作制度建设</w:t>
      </w:r>
    </w:p>
    <w:p>
      <w:pPr>
        <w:spacing w:line="480" w:lineRule="exact"/>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不断推进校企合作走向深入，与重点合作企业成立“订单班”，共同制定人才培养方案、开发课程、教材等，探索实施人才共育、师资共享、实训条件共建等工作模式。</w:t>
      </w:r>
    </w:p>
    <w:p>
      <w:pPr>
        <w:snapToGrid w:val="0"/>
        <w:spacing w:line="480" w:lineRule="exact"/>
        <w:ind w:firstLine="560" w:firstLineChars="200"/>
        <w:outlineLvl w:val="0"/>
        <w:rPr>
          <w:rFonts w:ascii="黑体" w:hAnsi="黑体" w:eastAsia="黑体" w:cs="黑体"/>
          <w:bCs/>
          <w:color w:val="000000" w:themeColor="text1"/>
          <w:sz w:val="28"/>
          <w:szCs w:val="28"/>
        </w:rPr>
      </w:pPr>
      <w:bookmarkStart w:id="48" w:name="_Toc23606"/>
      <w:r>
        <w:rPr>
          <w:rFonts w:hint="eastAsia" w:ascii="黑体" w:hAnsi="黑体" w:eastAsia="黑体" w:cs="黑体"/>
          <w:bCs/>
          <w:color w:val="000000" w:themeColor="text1"/>
          <w:sz w:val="28"/>
          <w:szCs w:val="28"/>
        </w:rPr>
        <w:t>九、毕业生要求</w:t>
      </w:r>
      <w:bookmarkEnd w:id="48"/>
    </w:p>
    <w:p>
      <w:pPr>
        <w:spacing w:line="480" w:lineRule="exact"/>
        <w:ind w:firstLine="560" w:firstLineChars="200"/>
        <w:textAlignment w:val="top"/>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学生通过3年的学习，要求学生所学的全部课程考试合格，获得通用证书以及行业资格证书，并达到本专业人才培养目标和培养规格的要求。</w:t>
      </w:r>
      <w:bookmarkStart w:id="49" w:name="_Hlk76643124"/>
      <w:r>
        <w:rPr>
          <w:rFonts w:hint="eastAsia" w:ascii="仿宋_GB2312" w:hAnsi="仿宋_GB2312" w:eastAsia="仿宋_GB2312" w:cs="仿宋_GB2312"/>
          <w:color w:val="000000" w:themeColor="text1"/>
          <w:sz w:val="28"/>
          <w:szCs w:val="28"/>
        </w:rPr>
        <w:t>学生须修满本专业人才培养方案规定的</w:t>
      </w:r>
      <w:r>
        <w:rPr>
          <w:rFonts w:hint="eastAsia" w:ascii="仿宋_GB2312" w:hAnsi="仿宋_GB2312" w:eastAsia="仿宋_GB2312" w:cs="仿宋_GB2312"/>
          <w:b/>
          <w:bCs/>
          <w:color w:val="000000" w:themeColor="text1"/>
          <w:sz w:val="28"/>
          <w:szCs w:val="28"/>
        </w:rPr>
        <w:t>2862</w:t>
      </w:r>
      <w:r>
        <w:rPr>
          <w:rFonts w:hint="eastAsia" w:ascii="仿宋_GB2312" w:hAnsi="仿宋_GB2312" w:eastAsia="仿宋_GB2312" w:cs="仿宋_GB2312"/>
          <w:color w:val="000000" w:themeColor="text1"/>
          <w:sz w:val="28"/>
          <w:szCs w:val="28"/>
        </w:rPr>
        <w:t>学时、</w:t>
      </w:r>
      <w:r>
        <w:rPr>
          <w:rFonts w:hint="eastAsia" w:ascii="仿宋_GB2312" w:hAnsi="仿宋_GB2312" w:eastAsia="仿宋_GB2312" w:cs="仿宋_GB2312"/>
          <w:b/>
          <w:bCs/>
          <w:color w:val="000000" w:themeColor="text1"/>
          <w:sz w:val="28"/>
          <w:szCs w:val="28"/>
        </w:rPr>
        <w:t>162</w:t>
      </w:r>
      <w:r>
        <w:rPr>
          <w:rFonts w:hint="eastAsia" w:ascii="仿宋_GB2312" w:hAnsi="仿宋_GB2312" w:eastAsia="仿宋_GB2312" w:cs="仿宋_GB2312"/>
          <w:color w:val="000000" w:themeColor="text1"/>
          <w:sz w:val="28"/>
          <w:szCs w:val="28"/>
        </w:rPr>
        <w:t>学分。其中公共基础必修课程</w:t>
      </w:r>
      <w:r>
        <w:rPr>
          <w:rFonts w:hint="eastAsia" w:ascii="仿宋_GB2312" w:hAnsi="仿宋_GB2312" w:eastAsia="仿宋_GB2312" w:cs="仿宋_GB2312"/>
          <w:b/>
          <w:bCs/>
          <w:color w:val="000000" w:themeColor="text1"/>
          <w:sz w:val="28"/>
          <w:szCs w:val="28"/>
        </w:rPr>
        <w:t>702</w:t>
      </w:r>
      <w:r>
        <w:rPr>
          <w:rFonts w:hint="eastAsia" w:ascii="仿宋_GB2312" w:hAnsi="仿宋_GB2312" w:eastAsia="仿宋_GB2312" w:cs="仿宋_GB2312"/>
          <w:color w:val="000000" w:themeColor="text1"/>
          <w:sz w:val="28"/>
          <w:szCs w:val="28"/>
        </w:rPr>
        <w:t>课时、</w:t>
      </w:r>
      <w:r>
        <w:rPr>
          <w:rFonts w:hint="eastAsia" w:ascii="仿宋_GB2312" w:hAnsi="仿宋_GB2312" w:eastAsia="仿宋_GB2312" w:cs="仿宋_GB2312"/>
          <w:b/>
          <w:bCs/>
          <w:color w:val="000000" w:themeColor="text1"/>
          <w:sz w:val="28"/>
          <w:szCs w:val="28"/>
        </w:rPr>
        <w:t>42</w:t>
      </w:r>
      <w:r>
        <w:rPr>
          <w:rFonts w:hint="eastAsia" w:ascii="仿宋_GB2312" w:hAnsi="仿宋_GB2312" w:eastAsia="仿宋_GB2312" w:cs="仿宋_GB2312"/>
          <w:color w:val="000000" w:themeColor="text1"/>
          <w:sz w:val="28"/>
          <w:szCs w:val="28"/>
        </w:rPr>
        <w:t>学分；专业技能必修课程</w:t>
      </w:r>
      <w:r>
        <w:rPr>
          <w:rFonts w:hint="eastAsia" w:ascii="仿宋_GB2312" w:hAnsi="仿宋_GB2312" w:eastAsia="仿宋_GB2312" w:cs="仿宋_GB2312"/>
          <w:b/>
          <w:bCs/>
          <w:color w:val="000000" w:themeColor="text1"/>
          <w:sz w:val="28"/>
          <w:szCs w:val="28"/>
        </w:rPr>
        <w:t>1872</w:t>
      </w:r>
      <w:r>
        <w:rPr>
          <w:rFonts w:hint="eastAsia" w:ascii="仿宋_GB2312" w:hAnsi="仿宋_GB2312" w:eastAsia="仿宋_GB2312" w:cs="仿宋_GB2312"/>
          <w:color w:val="000000" w:themeColor="text1"/>
          <w:sz w:val="28"/>
          <w:szCs w:val="28"/>
        </w:rPr>
        <w:t>学时、</w:t>
      </w:r>
      <w:r>
        <w:rPr>
          <w:rFonts w:hint="eastAsia" w:ascii="仿宋_GB2312" w:hAnsi="仿宋_GB2312" w:eastAsia="仿宋_GB2312" w:cs="仿宋_GB2312"/>
          <w:b/>
          <w:bCs/>
          <w:color w:val="000000" w:themeColor="text1"/>
          <w:sz w:val="28"/>
          <w:szCs w:val="28"/>
        </w:rPr>
        <w:t>102</w:t>
      </w:r>
      <w:r>
        <w:rPr>
          <w:rFonts w:hint="eastAsia" w:ascii="仿宋_GB2312" w:hAnsi="仿宋_GB2312" w:eastAsia="仿宋_GB2312" w:cs="仿宋_GB2312"/>
          <w:color w:val="000000" w:themeColor="text1"/>
          <w:sz w:val="28"/>
          <w:szCs w:val="28"/>
        </w:rPr>
        <w:t>学分；公共基础选修课程</w:t>
      </w:r>
      <w:r>
        <w:rPr>
          <w:rFonts w:hint="eastAsia" w:ascii="仿宋_GB2312" w:hAnsi="仿宋_GB2312" w:eastAsia="仿宋_GB2312" w:cs="仿宋_GB2312"/>
          <w:b/>
          <w:bCs/>
          <w:color w:val="000000" w:themeColor="text1"/>
          <w:sz w:val="28"/>
          <w:szCs w:val="28"/>
        </w:rPr>
        <w:t>96</w:t>
      </w:r>
      <w:r>
        <w:rPr>
          <w:rFonts w:hint="eastAsia" w:ascii="仿宋_GB2312" w:hAnsi="仿宋_GB2312" w:eastAsia="仿宋_GB2312" w:cs="仿宋_GB2312"/>
          <w:color w:val="000000" w:themeColor="text1"/>
          <w:sz w:val="28"/>
          <w:szCs w:val="28"/>
        </w:rPr>
        <w:t>课时、</w:t>
      </w:r>
      <w:r>
        <w:rPr>
          <w:rFonts w:hint="eastAsia" w:ascii="仿宋_GB2312" w:hAnsi="仿宋_GB2312" w:eastAsia="仿宋_GB2312" w:cs="仿宋_GB2312"/>
          <w:b/>
          <w:bCs/>
          <w:color w:val="000000" w:themeColor="text1"/>
          <w:sz w:val="28"/>
          <w:szCs w:val="28"/>
        </w:rPr>
        <w:t>6</w:t>
      </w:r>
      <w:r>
        <w:rPr>
          <w:rFonts w:hint="eastAsia" w:ascii="仿宋_GB2312" w:hAnsi="仿宋_GB2312" w:eastAsia="仿宋_GB2312" w:cs="仿宋_GB2312"/>
          <w:color w:val="000000" w:themeColor="text1"/>
          <w:sz w:val="28"/>
          <w:szCs w:val="28"/>
        </w:rPr>
        <w:t>学分；专业技能选修课程</w:t>
      </w:r>
      <w:r>
        <w:rPr>
          <w:rFonts w:hint="eastAsia" w:ascii="仿宋_GB2312" w:hAnsi="仿宋_GB2312" w:eastAsia="仿宋_GB2312" w:cs="仿宋_GB2312"/>
          <w:b/>
          <w:bCs/>
          <w:color w:val="000000" w:themeColor="text1"/>
          <w:sz w:val="28"/>
          <w:szCs w:val="28"/>
        </w:rPr>
        <w:t>192</w:t>
      </w:r>
      <w:r>
        <w:rPr>
          <w:rFonts w:hint="eastAsia" w:ascii="仿宋_GB2312" w:hAnsi="仿宋_GB2312" w:eastAsia="仿宋_GB2312" w:cs="仿宋_GB2312"/>
          <w:color w:val="000000" w:themeColor="text1"/>
          <w:sz w:val="28"/>
          <w:szCs w:val="28"/>
        </w:rPr>
        <w:t>课时、</w:t>
      </w:r>
      <w:r>
        <w:rPr>
          <w:rFonts w:hint="eastAsia" w:ascii="仿宋_GB2312" w:hAnsi="仿宋_GB2312" w:eastAsia="仿宋_GB2312" w:cs="仿宋_GB2312"/>
          <w:b/>
          <w:bCs/>
          <w:color w:val="000000" w:themeColor="text1"/>
          <w:sz w:val="28"/>
          <w:szCs w:val="28"/>
        </w:rPr>
        <w:t>12</w:t>
      </w:r>
      <w:r>
        <w:rPr>
          <w:rFonts w:hint="eastAsia" w:ascii="仿宋_GB2312" w:hAnsi="仿宋_GB2312" w:eastAsia="仿宋_GB2312" w:cs="仿宋_GB2312"/>
          <w:color w:val="000000" w:themeColor="text1"/>
          <w:sz w:val="28"/>
          <w:szCs w:val="28"/>
        </w:rPr>
        <w:t>学分。</w:t>
      </w:r>
      <w:bookmarkEnd w:id="49"/>
    </w:p>
    <w:p>
      <w:pPr>
        <w:snapToGrid w:val="0"/>
        <w:contextualSpacing/>
        <w:rPr>
          <w:rFonts w:asciiTheme="minorEastAsia" w:hAnsiTheme="minorEastAsia" w:cstheme="minorEastAsia"/>
          <w:color w:val="000000" w:themeColor="text1"/>
          <w:szCs w:val="21"/>
        </w:rPr>
      </w:pPr>
    </w:p>
    <w:sectPr>
      <w:headerReference r:id="rId7" w:type="default"/>
      <w:footerReference r:id="rId8" w:type="default"/>
      <w:pgSz w:w="11906" w:h="16838"/>
      <w:pgMar w:top="993" w:right="1418" w:bottom="1134" w:left="1133" w:header="737" w:footer="595"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0"/>
    <w:family w:val="auto"/>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Variable Text">
    <w:panose1 w:val="00000000000000000000"/>
    <w:charset w:val="00"/>
    <w:family w:val="auto"/>
    <w:pitch w:val="default"/>
    <w:sig w:usb0="A00002FF" w:usb1="0000000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w:pict>
        <v:shape id="_x0000_s2052" o:spid="_x0000_s2052"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w:pict>
        <v:shape id="_x0000_s2050" o:spid="_x0000_s2050"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t xml:space="preserve">— </w:t>
                </w:r>
                <w:r>
                  <w:fldChar w:fldCharType="begin"/>
                </w:r>
                <w:r>
                  <w:instrText xml:space="preserve"> PAGE  \* MERGEFORMAT </w:instrText>
                </w:r>
                <w:r>
                  <w:fldChar w:fldCharType="separate"/>
                </w:r>
                <w:r>
                  <w:t>20</w:t>
                </w:r>
                <w:r>
                  <w:fldChar w:fldCharType="end"/>
                </w:r>
                <w:r>
                  <w:t xml:space="preserve"> —</w:t>
                </w:r>
              </w:p>
            </w:txbxContent>
          </v:textbox>
        </v:shape>
      </w:pic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t xml:space="preserve">— </w:t>
                </w:r>
                <w:r>
                  <w:fldChar w:fldCharType="begin"/>
                </w:r>
                <w:r>
                  <w:instrText xml:space="preserve"> PAGE  \* MERGEFORMAT </w:instrText>
                </w:r>
                <w:r>
                  <w:fldChar w:fldCharType="separate"/>
                </w:r>
                <w:r>
                  <w:t>25</w:t>
                </w:r>
                <w:r>
                  <w:fldChar w:fldCharType="end"/>
                </w:r>
                <w:r>
                  <w:t xml:space="preserve"> —</w:t>
                </w:r>
              </w:p>
            </w:txbxContent>
          </v:textbox>
        </v:shape>
      </w:pic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w:pict>
        <v:rect id="_x0000_s2051" o:spid="_x0000_s2051" o:spt="1" style="position:absolute;left:0pt;margin-left:-1.65pt;margin-top:262.4pt;height:70.5pt;width:60pt;mso-position-horizontal-relative:page;mso-position-vertical-relative:page;z-index:251660288;mso-width-relative:page;mso-height-relative:page;"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path/>
          <v:fill focussize="0,0"/>
          <v:stroke on="f"/>
          <v:imagedata o:title=""/>
          <o:lock v:ext="edit"/>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20</w:t>
                </w:r>
                <w:r>
                  <w:rPr>
                    <w:sz w:val="18"/>
                    <w:szCs w:val="18"/>
                  </w:rPr>
                  <w:fldChar w:fldCharType="end"/>
                </w: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pStyle w:val="10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A3YzYwMDJlMWRkMzQwZDVmMzc4YjlmYmU3OTU3ZDIifQ=="/>
  </w:docVars>
  <w:rsids>
    <w:rsidRoot w:val="00396F2A"/>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802F6"/>
    <w:rsid w:val="001D54D3"/>
    <w:rsid w:val="001F5D4C"/>
    <w:rsid w:val="002075F3"/>
    <w:rsid w:val="002078A9"/>
    <w:rsid w:val="00214E4A"/>
    <w:rsid w:val="00216FF8"/>
    <w:rsid w:val="00221FB9"/>
    <w:rsid w:val="0022406A"/>
    <w:rsid w:val="00225862"/>
    <w:rsid w:val="0025164C"/>
    <w:rsid w:val="0025752D"/>
    <w:rsid w:val="0027150D"/>
    <w:rsid w:val="00272F35"/>
    <w:rsid w:val="002A5AA4"/>
    <w:rsid w:val="002B4721"/>
    <w:rsid w:val="002B482E"/>
    <w:rsid w:val="002B5902"/>
    <w:rsid w:val="002D595A"/>
    <w:rsid w:val="002E4C3C"/>
    <w:rsid w:val="002E4F69"/>
    <w:rsid w:val="002F19CB"/>
    <w:rsid w:val="00327A34"/>
    <w:rsid w:val="00345116"/>
    <w:rsid w:val="00351689"/>
    <w:rsid w:val="00370C95"/>
    <w:rsid w:val="00371A6C"/>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87BF5"/>
    <w:rsid w:val="006A7A69"/>
    <w:rsid w:val="006F3596"/>
    <w:rsid w:val="006F526C"/>
    <w:rsid w:val="006F7CC9"/>
    <w:rsid w:val="0070401C"/>
    <w:rsid w:val="00714EB3"/>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7238C"/>
    <w:rsid w:val="00B96017"/>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C51AA"/>
    <w:rsid w:val="00FF4D4A"/>
    <w:rsid w:val="00FF66E9"/>
    <w:rsid w:val="01142B87"/>
    <w:rsid w:val="01145609"/>
    <w:rsid w:val="01314F6C"/>
    <w:rsid w:val="013D290D"/>
    <w:rsid w:val="018C519F"/>
    <w:rsid w:val="01AF5332"/>
    <w:rsid w:val="01C02296"/>
    <w:rsid w:val="01E054EB"/>
    <w:rsid w:val="0261487E"/>
    <w:rsid w:val="0297204E"/>
    <w:rsid w:val="02996215"/>
    <w:rsid w:val="02A97FD3"/>
    <w:rsid w:val="03140887"/>
    <w:rsid w:val="03152B33"/>
    <w:rsid w:val="03644AF7"/>
    <w:rsid w:val="0376282A"/>
    <w:rsid w:val="037A3A25"/>
    <w:rsid w:val="038E7705"/>
    <w:rsid w:val="03B6737C"/>
    <w:rsid w:val="03C36CAC"/>
    <w:rsid w:val="03C5736E"/>
    <w:rsid w:val="03CC3F79"/>
    <w:rsid w:val="03EB1FDE"/>
    <w:rsid w:val="04175528"/>
    <w:rsid w:val="04C12814"/>
    <w:rsid w:val="04D171D5"/>
    <w:rsid w:val="050A4C6D"/>
    <w:rsid w:val="055A235A"/>
    <w:rsid w:val="055A4D0C"/>
    <w:rsid w:val="056326BB"/>
    <w:rsid w:val="05926AFC"/>
    <w:rsid w:val="059646F9"/>
    <w:rsid w:val="05D71955"/>
    <w:rsid w:val="05F72E03"/>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CB24DFF"/>
    <w:rsid w:val="0D4D15B7"/>
    <w:rsid w:val="0D52150D"/>
    <w:rsid w:val="0D8C2DBD"/>
    <w:rsid w:val="0DF21794"/>
    <w:rsid w:val="0E914E7A"/>
    <w:rsid w:val="0F855734"/>
    <w:rsid w:val="0F8B2F3A"/>
    <w:rsid w:val="102173FB"/>
    <w:rsid w:val="10494BC2"/>
    <w:rsid w:val="105E41AB"/>
    <w:rsid w:val="108828DF"/>
    <w:rsid w:val="10BF7A67"/>
    <w:rsid w:val="11203B56"/>
    <w:rsid w:val="113E3FDC"/>
    <w:rsid w:val="1150529B"/>
    <w:rsid w:val="116C6248"/>
    <w:rsid w:val="119D53EB"/>
    <w:rsid w:val="11AC25BB"/>
    <w:rsid w:val="11C36097"/>
    <w:rsid w:val="11DA48AE"/>
    <w:rsid w:val="11FA76C0"/>
    <w:rsid w:val="12693A8D"/>
    <w:rsid w:val="12AF6F40"/>
    <w:rsid w:val="13315BA7"/>
    <w:rsid w:val="133A5BF2"/>
    <w:rsid w:val="136A10B9"/>
    <w:rsid w:val="138D74D2"/>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7660A"/>
    <w:rsid w:val="159B558D"/>
    <w:rsid w:val="15A72150"/>
    <w:rsid w:val="15D805CA"/>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8F548E"/>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A2504A"/>
    <w:rsid w:val="1EAC6A29"/>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312790"/>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463CFB"/>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79426E"/>
    <w:rsid w:val="34AC3E2A"/>
    <w:rsid w:val="34BE74D4"/>
    <w:rsid w:val="352C3774"/>
    <w:rsid w:val="3542530C"/>
    <w:rsid w:val="35676A73"/>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86313"/>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8FC795A"/>
    <w:rsid w:val="49052769"/>
    <w:rsid w:val="49115BE2"/>
    <w:rsid w:val="49184025"/>
    <w:rsid w:val="492C3879"/>
    <w:rsid w:val="493B5E77"/>
    <w:rsid w:val="497950A9"/>
    <w:rsid w:val="49D10191"/>
    <w:rsid w:val="49D14008"/>
    <w:rsid w:val="49EB7B56"/>
    <w:rsid w:val="49F509D5"/>
    <w:rsid w:val="49FF6325"/>
    <w:rsid w:val="4A0E24AB"/>
    <w:rsid w:val="4A51493D"/>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D822534"/>
    <w:rsid w:val="4E022E2E"/>
    <w:rsid w:val="4E055E45"/>
    <w:rsid w:val="4E384CBD"/>
    <w:rsid w:val="4E4837C9"/>
    <w:rsid w:val="4E7740AE"/>
    <w:rsid w:val="4E9D3807"/>
    <w:rsid w:val="4EA4073F"/>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A819FD"/>
    <w:rsid w:val="57DA0A4F"/>
    <w:rsid w:val="584C2108"/>
    <w:rsid w:val="58973B6A"/>
    <w:rsid w:val="58EB2348"/>
    <w:rsid w:val="592530E1"/>
    <w:rsid w:val="59955E7D"/>
    <w:rsid w:val="59A20FE4"/>
    <w:rsid w:val="59AD7291"/>
    <w:rsid w:val="59B55AA5"/>
    <w:rsid w:val="59C12681"/>
    <w:rsid w:val="59DE1485"/>
    <w:rsid w:val="59E4760D"/>
    <w:rsid w:val="59F91E1B"/>
    <w:rsid w:val="59FB3DE5"/>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30528B"/>
    <w:rsid w:val="65414DC6"/>
    <w:rsid w:val="65605444"/>
    <w:rsid w:val="65754B0E"/>
    <w:rsid w:val="65B66FA0"/>
    <w:rsid w:val="66715776"/>
    <w:rsid w:val="6692564A"/>
    <w:rsid w:val="66C64415"/>
    <w:rsid w:val="66D55C14"/>
    <w:rsid w:val="67093A50"/>
    <w:rsid w:val="677E641A"/>
    <w:rsid w:val="67BA61E8"/>
    <w:rsid w:val="684F6460"/>
    <w:rsid w:val="68CB5C46"/>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0EBE"/>
    <w:rsid w:val="6CC14A1B"/>
    <w:rsid w:val="6D0667A6"/>
    <w:rsid w:val="6D156B14"/>
    <w:rsid w:val="6D2A2F35"/>
    <w:rsid w:val="6D360AB0"/>
    <w:rsid w:val="6D6A50B2"/>
    <w:rsid w:val="6D734E33"/>
    <w:rsid w:val="6DBC33D5"/>
    <w:rsid w:val="6DFA3716"/>
    <w:rsid w:val="6E292877"/>
    <w:rsid w:val="6E49116B"/>
    <w:rsid w:val="6E775502"/>
    <w:rsid w:val="6EAB4343"/>
    <w:rsid w:val="6EB32A89"/>
    <w:rsid w:val="6EF14F0E"/>
    <w:rsid w:val="6F4B2CC1"/>
    <w:rsid w:val="6F6D70DC"/>
    <w:rsid w:val="6F765F90"/>
    <w:rsid w:val="6F782FE2"/>
    <w:rsid w:val="6F9C351D"/>
    <w:rsid w:val="7066064A"/>
    <w:rsid w:val="70BA4782"/>
    <w:rsid w:val="70EF2565"/>
    <w:rsid w:val="714C5B72"/>
    <w:rsid w:val="71551BD5"/>
    <w:rsid w:val="71CB0C73"/>
    <w:rsid w:val="71D86ACE"/>
    <w:rsid w:val="71E967C5"/>
    <w:rsid w:val="72006795"/>
    <w:rsid w:val="722933A0"/>
    <w:rsid w:val="722C13C8"/>
    <w:rsid w:val="72B37C4E"/>
    <w:rsid w:val="72C40DC1"/>
    <w:rsid w:val="72C82BBF"/>
    <w:rsid w:val="72CD7C81"/>
    <w:rsid w:val="72F13B80"/>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50F7E"/>
    <w:rsid w:val="779A6704"/>
    <w:rsid w:val="77A513AC"/>
    <w:rsid w:val="77AE3DED"/>
    <w:rsid w:val="78413CD2"/>
    <w:rsid w:val="78981048"/>
    <w:rsid w:val="789B6166"/>
    <w:rsid w:val="78B277D5"/>
    <w:rsid w:val="78BB2381"/>
    <w:rsid w:val="78E454B3"/>
    <w:rsid w:val="795310F0"/>
    <w:rsid w:val="797D7F1B"/>
    <w:rsid w:val="797F7F69"/>
    <w:rsid w:val="79CC5566"/>
    <w:rsid w:val="79D02741"/>
    <w:rsid w:val="7A286EF1"/>
    <w:rsid w:val="7A5C5097"/>
    <w:rsid w:val="7A9C0875"/>
    <w:rsid w:val="7B036D36"/>
    <w:rsid w:val="7B055850"/>
    <w:rsid w:val="7B7274CC"/>
    <w:rsid w:val="7B811F45"/>
    <w:rsid w:val="7C1D1629"/>
    <w:rsid w:val="7C2E19A1"/>
    <w:rsid w:val="7C4E45AF"/>
    <w:rsid w:val="7CEB7345"/>
    <w:rsid w:val="7CED360A"/>
    <w:rsid w:val="7CFC24CC"/>
    <w:rsid w:val="7D463CC5"/>
    <w:rsid w:val="7D627C28"/>
    <w:rsid w:val="7D686C61"/>
    <w:rsid w:val="7D93164C"/>
    <w:rsid w:val="7DAA071D"/>
    <w:rsid w:val="7DBD4D8A"/>
    <w:rsid w:val="7DCB394B"/>
    <w:rsid w:val="7E010EF3"/>
    <w:rsid w:val="7E1E7DBE"/>
    <w:rsid w:val="7E2B2E0C"/>
    <w:rsid w:val="7E5020A2"/>
    <w:rsid w:val="7F6C028B"/>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7"/>
    <w:qFormat/>
    <w:uiPriority w:val="0"/>
    <w:pPr>
      <w:jc w:val="left"/>
    </w:pPr>
    <w:rPr>
      <w:szCs w:val="24"/>
    </w:rPr>
  </w:style>
  <w:style w:type="paragraph" w:styleId="8">
    <w:name w:val="Body Text"/>
    <w:basedOn w:val="1"/>
    <w:link w:val="64"/>
    <w:qFormat/>
    <w:uiPriority w:val="0"/>
    <w:pPr>
      <w:ind w:left="101"/>
    </w:pPr>
    <w:rPr>
      <w:rFonts w:ascii="宋体" w:hAnsi="宋体" w:eastAsia="宋体" w:cs="Times New Roman"/>
      <w:sz w:val="28"/>
      <w:szCs w:val="28"/>
    </w:rPr>
  </w:style>
  <w:style w:type="paragraph" w:styleId="9">
    <w:name w:val="Body Text Indent"/>
    <w:basedOn w:val="1"/>
    <w:link w:val="45"/>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7"/>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0"/>
    <w:qFormat/>
    <w:uiPriority w:val="0"/>
    <w:rPr>
      <w:rFonts w:eastAsia="宋体"/>
      <w:sz w:val="18"/>
      <w:szCs w:val="18"/>
    </w:rPr>
  </w:style>
  <w:style w:type="paragraph" w:styleId="15">
    <w:name w:val="footer"/>
    <w:basedOn w:val="1"/>
    <w:link w:val="46"/>
    <w:qFormat/>
    <w:uiPriority w:val="0"/>
    <w:pPr>
      <w:tabs>
        <w:tab w:val="center" w:pos="4153"/>
        <w:tab w:val="right" w:pos="8306"/>
      </w:tabs>
      <w:snapToGrid w:val="0"/>
      <w:jc w:val="left"/>
    </w:pPr>
    <w:rPr>
      <w:rFonts w:eastAsia="宋体"/>
      <w:sz w:val="18"/>
      <w:szCs w:val="18"/>
    </w:rPr>
  </w:style>
  <w:style w:type="paragraph" w:styleId="16">
    <w:name w:val="header"/>
    <w:basedOn w:val="1"/>
    <w:link w:val="59"/>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0"/>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8"/>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7"/>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Emphasis"/>
    <w:basedOn w:val="29"/>
    <w:qFormat/>
    <w:uiPriority w:val="0"/>
    <w:rPr>
      <w:i/>
    </w:rPr>
  </w:style>
  <w:style w:type="character" w:styleId="32">
    <w:name w:val="Hyperlink"/>
    <w:qFormat/>
    <w:uiPriority w:val="99"/>
    <w:rPr>
      <w:color w:val="0063C8"/>
      <w:u w:val="none"/>
    </w:rPr>
  </w:style>
  <w:style w:type="character" w:styleId="33">
    <w:name w:val="annotation reference"/>
    <w:qFormat/>
    <w:uiPriority w:val="0"/>
    <w:rPr>
      <w:sz w:val="21"/>
      <w:szCs w:val="21"/>
    </w:rPr>
  </w:style>
  <w:style w:type="paragraph" w:customStyle="1" w:styleId="34">
    <w:name w:val="样式1"/>
    <w:basedOn w:val="35"/>
    <w:link w:val="121"/>
    <w:qFormat/>
    <w:uiPriority w:val="0"/>
    <w:pPr>
      <w:tabs>
        <w:tab w:val="left" w:pos="993"/>
        <w:tab w:val="left" w:pos="1620"/>
      </w:tabs>
      <w:jc w:val="right"/>
    </w:pPr>
    <w:rPr>
      <w:b w:val="0"/>
      <w:sz w:val="21"/>
    </w:rPr>
  </w:style>
  <w:style w:type="paragraph" w:customStyle="1" w:styleId="35">
    <w:name w:val="章节标题"/>
    <w:basedOn w:val="1"/>
    <w:link w:val="81"/>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6">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7">
    <w:name w:val="标题 1 Char"/>
    <w:basedOn w:val="29"/>
    <w:link w:val="2"/>
    <w:qFormat/>
    <w:uiPriority w:val="0"/>
    <w:rPr>
      <w:rFonts w:ascii="Times New Roman" w:hAnsi="Times New Roman" w:eastAsia="宋体" w:cs="Times New Roman"/>
      <w:b/>
      <w:bCs/>
      <w:kern w:val="44"/>
      <w:sz w:val="44"/>
      <w:szCs w:val="44"/>
    </w:rPr>
  </w:style>
  <w:style w:type="character" w:customStyle="1" w:styleId="38">
    <w:name w:val="标题 2 Char"/>
    <w:basedOn w:val="29"/>
    <w:link w:val="3"/>
    <w:qFormat/>
    <w:uiPriority w:val="0"/>
    <w:rPr>
      <w:rFonts w:ascii="宋体" w:hAnsi="宋体" w:eastAsia="宋体" w:cs="宋体"/>
      <w:b/>
      <w:bCs/>
      <w:sz w:val="36"/>
      <w:szCs w:val="36"/>
    </w:rPr>
  </w:style>
  <w:style w:type="character" w:customStyle="1" w:styleId="39">
    <w:name w:val="标题 3 Char"/>
    <w:basedOn w:val="29"/>
    <w:link w:val="4"/>
    <w:qFormat/>
    <w:uiPriority w:val="0"/>
    <w:rPr>
      <w:rFonts w:ascii="Times New Roman" w:hAnsi="Times New Roman" w:eastAsia="宋体" w:cs="Times New Roman"/>
      <w:b/>
      <w:sz w:val="32"/>
      <w:szCs w:val="24"/>
    </w:rPr>
  </w:style>
  <w:style w:type="character" w:customStyle="1" w:styleId="40">
    <w:name w:val="apple-style-span"/>
    <w:basedOn w:val="29"/>
    <w:qFormat/>
    <w:uiPriority w:val="0"/>
  </w:style>
  <w:style w:type="character" w:customStyle="1" w:styleId="41">
    <w:name w:val="font51"/>
    <w:qFormat/>
    <w:uiPriority w:val="0"/>
    <w:rPr>
      <w:rFonts w:hint="eastAsia" w:ascii="宋体" w:hAnsi="宋体" w:eastAsia="宋体" w:cs="宋体"/>
      <w:color w:val="000000"/>
      <w:sz w:val="21"/>
      <w:szCs w:val="21"/>
      <w:u w:val="none"/>
    </w:rPr>
  </w:style>
  <w:style w:type="character" w:customStyle="1" w:styleId="42">
    <w:name w:val="标题1 Char Char"/>
    <w:link w:val="43"/>
    <w:qFormat/>
    <w:uiPriority w:val="0"/>
    <w:rPr>
      <w:rFonts w:eastAsia="宋体"/>
      <w:b/>
      <w:color w:val="000000"/>
      <w:sz w:val="24"/>
      <w:u w:color="000000"/>
    </w:rPr>
  </w:style>
  <w:style w:type="paragraph" w:customStyle="1" w:styleId="43">
    <w:name w:val="标题1"/>
    <w:basedOn w:val="6"/>
    <w:link w:val="42"/>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4">
    <w:name w:val="Char Char6"/>
    <w:qFormat/>
    <w:uiPriority w:val="0"/>
    <w:rPr>
      <w:rFonts w:ascii="Cambria" w:hAnsi="Cambria" w:eastAsia="宋体"/>
      <w:b/>
      <w:bCs/>
      <w:kern w:val="2"/>
      <w:sz w:val="32"/>
      <w:szCs w:val="32"/>
      <w:lang w:bidi="ar-SA"/>
    </w:rPr>
  </w:style>
  <w:style w:type="character" w:customStyle="1" w:styleId="45">
    <w:name w:val="正文文本缩进 Char"/>
    <w:link w:val="9"/>
    <w:qFormat/>
    <w:uiPriority w:val="0"/>
    <w:rPr>
      <w:rFonts w:eastAsia="宋体"/>
      <w:szCs w:val="24"/>
    </w:rPr>
  </w:style>
  <w:style w:type="character" w:customStyle="1" w:styleId="46">
    <w:name w:val="页脚 Char"/>
    <w:link w:val="15"/>
    <w:qFormat/>
    <w:uiPriority w:val="0"/>
    <w:rPr>
      <w:rFonts w:eastAsia="宋体"/>
      <w:sz w:val="18"/>
      <w:szCs w:val="18"/>
    </w:rPr>
  </w:style>
  <w:style w:type="character" w:customStyle="1" w:styleId="47">
    <w:name w:val="纯文本 Char"/>
    <w:link w:val="12"/>
    <w:qFormat/>
    <w:uiPriority w:val="0"/>
    <w:rPr>
      <w:rFonts w:ascii="宋体" w:hAnsi="Courier New" w:eastAsia="宋体"/>
      <w:szCs w:val="21"/>
    </w:rPr>
  </w:style>
  <w:style w:type="character" w:customStyle="1" w:styleId="48">
    <w:name w:val="正文 + 宋体 Char Char"/>
    <w:link w:val="49"/>
    <w:qFormat/>
    <w:uiPriority w:val="0"/>
    <w:rPr>
      <w:rFonts w:ascii="宋体" w:hAnsi="宋体" w:eastAsia="宋体"/>
      <w:szCs w:val="21"/>
    </w:rPr>
  </w:style>
  <w:style w:type="paragraph" w:customStyle="1" w:styleId="49">
    <w:name w:val="正文 + 宋体"/>
    <w:basedOn w:val="1"/>
    <w:link w:val="48"/>
    <w:qFormat/>
    <w:uiPriority w:val="0"/>
    <w:pPr>
      <w:snapToGrid w:val="0"/>
      <w:ind w:firstLine="420" w:firstLineChars="200"/>
    </w:pPr>
    <w:rPr>
      <w:rFonts w:ascii="宋体" w:hAnsi="宋体" w:eastAsia="宋体"/>
      <w:szCs w:val="21"/>
    </w:rPr>
  </w:style>
  <w:style w:type="character" w:customStyle="1" w:styleId="50">
    <w:name w:val="批注框文本 Char"/>
    <w:link w:val="14"/>
    <w:qFormat/>
    <w:uiPriority w:val="0"/>
    <w:rPr>
      <w:rFonts w:eastAsia="宋体"/>
      <w:sz w:val="18"/>
      <w:szCs w:val="18"/>
    </w:rPr>
  </w:style>
  <w:style w:type="character" w:customStyle="1" w:styleId="51">
    <w:name w:val="font21"/>
    <w:qFormat/>
    <w:uiPriority w:val="0"/>
    <w:rPr>
      <w:rFonts w:hint="eastAsia" w:ascii="宋体" w:hAnsi="宋体" w:eastAsia="宋体" w:cs="宋体"/>
      <w:color w:val="FF0000"/>
      <w:sz w:val="21"/>
      <w:szCs w:val="21"/>
      <w:u w:val="none"/>
    </w:rPr>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font31"/>
    <w:qFormat/>
    <w:uiPriority w:val="0"/>
    <w:rPr>
      <w:rFonts w:hint="eastAsia" w:ascii="宋体" w:hAnsi="宋体" w:eastAsia="宋体" w:cs="宋体"/>
      <w:color w:val="000000"/>
      <w:sz w:val="21"/>
      <w:szCs w:val="21"/>
      <w:u w:val="none"/>
    </w:rPr>
  </w:style>
  <w:style w:type="character" w:customStyle="1" w:styleId="54">
    <w:name w:val="大纲正文 Char Char"/>
    <w:link w:val="55"/>
    <w:qFormat/>
    <w:uiPriority w:val="0"/>
    <w:rPr>
      <w:rFonts w:eastAsia="宋体"/>
      <w:color w:val="000000"/>
      <w:u w:color="000000"/>
    </w:rPr>
  </w:style>
  <w:style w:type="paragraph" w:customStyle="1" w:styleId="55">
    <w:name w:val="大纲正文"/>
    <w:basedOn w:val="1"/>
    <w:link w:val="54"/>
    <w:qFormat/>
    <w:uiPriority w:val="0"/>
    <w:pPr>
      <w:snapToGrid w:val="0"/>
      <w:ind w:firstLine="200" w:firstLineChars="200"/>
      <w:textAlignment w:val="baseline"/>
    </w:pPr>
    <w:rPr>
      <w:rFonts w:eastAsia="宋体"/>
      <w:color w:val="000000"/>
      <w:u w:color="000000"/>
    </w:rPr>
  </w:style>
  <w:style w:type="character" w:customStyle="1" w:styleId="56">
    <w:name w:val="中等深浅网格 2 Char"/>
    <w:qFormat/>
    <w:uiPriority w:val="0"/>
    <w:rPr>
      <w:rFonts w:ascii="Calibri" w:hAnsi="Calibri"/>
      <w:sz w:val="22"/>
      <w:szCs w:val="22"/>
      <w:lang w:val="en-US" w:eastAsia="zh-CN" w:bidi="ar-SA"/>
    </w:rPr>
  </w:style>
  <w:style w:type="character" w:customStyle="1" w:styleId="57">
    <w:name w:val="批注文字 Char"/>
    <w:link w:val="7"/>
    <w:qFormat/>
    <w:uiPriority w:val="0"/>
    <w:rPr>
      <w:szCs w:val="24"/>
    </w:rPr>
  </w:style>
  <w:style w:type="character" w:customStyle="1" w:styleId="58">
    <w:name w:val="标题 Char"/>
    <w:link w:val="25"/>
    <w:qFormat/>
    <w:uiPriority w:val="0"/>
    <w:rPr>
      <w:rFonts w:ascii="Cambria" w:hAnsi="Cambria" w:eastAsia="宋体"/>
      <w:b/>
      <w:bCs/>
      <w:sz w:val="32"/>
      <w:szCs w:val="32"/>
    </w:rPr>
  </w:style>
  <w:style w:type="character" w:customStyle="1" w:styleId="59">
    <w:name w:val="页眉 Char"/>
    <w:link w:val="16"/>
    <w:qFormat/>
    <w:uiPriority w:val="0"/>
    <w:rPr>
      <w:rFonts w:eastAsia="宋体"/>
      <w:sz w:val="18"/>
      <w:szCs w:val="18"/>
    </w:rPr>
  </w:style>
  <w:style w:type="character" w:customStyle="1" w:styleId="60">
    <w:name w:val="font01"/>
    <w:qFormat/>
    <w:uiPriority w:val="0"/>
    <w:rPr>
      <w:rFonts w:hint="default" w:ascii="Times New Roman" w:hAnsi="Times New Roman" w:cs="Times New Roman"/>
      <w:color w:val="FF0000"/>
      <w:sz w:val="21"/>
      <w:szCs w:val="21"/>
      <w:u w:val="none"/>
    </w:rPr>
  </w:style>
  <w:style w:type="paragraph" w:customStyle="1" w:styleId="61">
    <w:name w:val="Table Paragraph"/>
    <w:basedOn w:val="1"/>
    <w:qFormat/>
    <w:uiPriority w:val="1"/>
    <w:rPr>
      <w:rFonts w:ascii="Times New Roman" w:hAnsi="Times New Roman" w:eastAsia="宋体" w:cs="Times New Roman"/>
      <w:szCs w:val="24"/>
    </w:rPr>
  </w:style>
  <w:style w:type="character" w:customStyle="1" w:styleId="62">
    <w:name w:val="HTML 预设格式 Char"/>
    <w:basedOn w:val="29"/>
    <w:link w:val="23"/>
    <w:qFormat/>
    <w:uiPriority w:val="99"/>
    <w:rPr>
      <w:rFonts w:ascii="Wingdings 3" w:hAnsi="Wingdings 3" w:eastAsia="Wingdings 3" w:cs="Times New Roman"/>
      <w:kern w:val="0"/>
      <w:sz w:val="24"/>
      <w:szCs w:val="24"/>
    </w:rPr>
  </w:style>
  <w:style w:type="character" w:customStyle="1" w:styleId="63">
    <w:name w:val="批注文字 Char1"/>
    <w:basedOn w:val="29"/>
    <w:semiHidden/>
    <w:qFormat/>
    <w:uiPriority w:val="99"/>
  </w:style>
  <w:style w:type="character" w:customStyle="1" w:styleId="64">
    <w:name w:val="正文文本 Char"/>
    <w:basedOn w:val="29"/>
    <w:link w:val="8"/>
    <w:qFormat/>
    <w:uiPriority w:val="1"/>
    <w:rPr>
      <w:rFonts w:ascii="宋体" w:hAnsi="宋体" w:eastAsia="宋体" w:cs="Times New Roman"/>
      <w:sz w:val="28"/>
      <w:szCs w:val="28"/>
    </w:rPr>
  </w:style>
  <w:style w:type="character" w:customStyle="1" w:styleId="65">
    <w:name w:val="纯文本 Char1"/>
    <w:basedOn w:val="29"/>
    <w:semiHidden/>
    <w:qFormat/>
    <w:uiPriority w:val="99"/>
    <w:rPr>
      <w:rFonts w:ascii="宋体" w:hAnsi="Courier New" w:eastAsia="宋体" w:cs="Courier New"/>
      <w:szCs w:val="21"/>
    </w:rPr>
  </w:style>
  <w:style w:type="character" w:customStyle="1" w:styleId="66">
    <w:name w:val="正文文本缩进 Char1"/>
    <w:basedOn w:val="29"/>
    <w:semiHidden/>
    <w:qFormat/>
    <w:uiPriority w:val="99"/>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p0"/>
    <w:basedOn w:val="1"/>
    <w:qFormat/>
    <w:uiPriority w:val="0"/>
    <w:pPr>
      <w:widowControl/>
    </w:pPr>
    <w:rPr>
      <w:rFonts w:ascii="Times New Roman" w:hAnsi="Times New Roman" w:eastAsia="宋体" w:cs="Times New Roman"/>
      <w:kern w:val="0"/>
      <w:szCs w:val="21"/>
    </w:rPr>
  </w:style>
  <w:style w:type="paragraph" w:customStyle="1" w:styleId="6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0">
    <w:name w:val="页脚 Char1"/>
    <w:basedOn w:val="29"/>
    <w:semiHidden/>
    <w:qFormat/>
    <w:uiPriority w:val="99"/>
    <w:rPr>
      <w:sz w:val="18"/>
      <w:szCs w:val="18"/>
    </w:rPr>
  </w:style>
  <w:style w:type="paragraph" w:customStyle="1" w:styleId="71">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2">
    <w:name w:val="页眉 Char1"/>
    <w:basedOn w:val="29"/>
    <w:semiHidden/>
    <w:qFormat/>
    <w:uiPriority w:val="99"/>
    <w:rPr>
      <w:sz w:val="18"/>
      <w:szCs w:val="18"/>
    </w:rPr>
  </w:style>
  <w:style w:type="character" w:customStyle="1" w:styleId="73">
    <w:name w:val="批注框文本 Char1"/>
    <w:basedOn w:val="29"/>
    <w:semiHidden/>
    <w:qFormat/>
    <w:uiPriority w:val="99"/>
    <w:rPr>
      <w:sz w:val="18"/>
      <w:szCs w:val="18"/>
    </w:rPr>
  </w:style>
  <w:style w:type="paragraph" w:customStyle="1" w:styleId="74">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5">
    <w:name w:val="列出段落1"/>
    <w:basedOn w:val="1"/>
    <w:qFormat/>
    <w:uiPriority w:val="34"/>
    <w:pPr>
      <w:ind w:firstLine="420" w:firstLineChars="200"/>
    </w:pPr>
    <w:rPr>
      <w:rFonts w:ascii="Times New Roman" w:hAnsi="Times New Roman" w:eastAsia="宋体" w:cs="Times New Roman"/>
      <w:szCs w:val="24"/>
    </w:rPr>
  </w:style>
  <w:style w:type="character" w:customStyle="1" w:styleId="76">
    <w:name w:val="标题 Char1"/>
    <w:basedOn w:val="29"/>
    <w:qFormat/>
    <w:uiPriority w:val="10"/>
    <w:rPr>
      <w:rFonts w:eastAsia="宋体" w:asciiTheme="majorHAnsi" w:hAnsiTheme="majorHAnsi" w:cstheme="majorBidi"/>
      <w:b/>
      <w:bCs/>
      <w:sz w:val="32"/>
      <w:szCs w:val="32"/>
    </w:rPr>
  </w:style>
  <w:style w:type="character" w:customStyle="1" w:styleId="77">
    <w:name w:val="批注主题 Char"/>
    <w:basedOn w:val="63"/>
    <w:link w:val="26"/>
    <w:qFormat/>
    <w:uiPriority w:val="0"/>
    <w:rPr>
      <w:b/>
      <w:bCs/>
      <w:szCs w:val="24"/>
    </w:rPr>
  </w:style>
  <w:style w:type="paragraph" w:customStyle="1" w:styleId="78">
    <w:name w:val="人才培养方案名称"/>
    <w:basedOn w:val="25"/>
    <w:link w:val="79"/>
    <w:qFormat/>
    <w:uiPriority w:val="0"/>
    <w:pPr>
      <w:spacing w:line="360" w:lineRule="auto"/>
    </w:pPr>
  </w:style>
  <w:style w:type="character" w:customStyle="1" w:styleId="79">
    <w:name w:val="人才培养方案名称 Char"/>
    <w:basedOn w:val="58"/>
    <w:link w:val="78"/>
    <w:qFormat/>
    <w:uiPriority w:val="0"/>
    <w:rPr>
      <w:rFonts w:ascii="Cambria" w:hAnsi="Cambria" w:eastAsia="宋体"/>
      <w:sz w:val="32"/>
      <w:szCs w:val="32"/>
    </w:rPr>
  </w:style>
  <w:style w:type="paragraph" w:customStyle="1" w:styleId="80">
    <w:name w:val="一级标题"/>
    <w:basedOn w:val="1"/>
    <w:link w:val="83"/>
    <w:qFormat/>
    <w:uiPriority w:val="0"/>
    <w:pPr>
      <w:snapToGrid w:val="0"/>
      <w:spacing w:line="360" w:lineRule="auto"/>
      <w:jc w:val="left"/>
      <w:outlineLvl w:val="0"/>
    </w:pPr>
    <w:rPr>
      <w:rFonts w:ascii="宋体" w:hAnsi="宋体" w:eastAsia="宋体"/>
      <w:b/>
      <w:sz w:val="24"/>
    </w:rPr>
  </w:style>
  <w:style w:type="character" w:customStyle="1" w:styleId="81">
    <w:name w:val="章节标题 Char"/>
    <w:basedOn w:val="29"/>
    <w:link w:val="35"/>
    <w:qFormat/>
    <w:uiPriority w:val="0"/>
    <w:rPr>
      <w:rFonts w:ascii="宋体" w:hAnsi="宋体" w:eastAsia="宋体" w:cs="宋体"/>
      <w:b/>
      <w:color w:val="000000"/>
      <w:sz w:val="28"/>
      <w:szCs w:val="28"/>
    </w:rPr>
  </w:style>
  <w:style w:type="paragraph" w:customStyle="1" w:styleId="82">
    <w:name w:val="二级标题"/>
    <w:basedOn w:val="1"/>
    <w:link w:val="85"/>
    <w:qFormat/>
    <w:uiPriority w:val="0"/>
    <w:pPr>
      <w:snapToGrid w:val="0"/>
      <w:spacing w:line="360" w:lineRule="auto"/>
      <w:outlineLvl w:val="1"/>
    </w:pPr>
    <w:rPr>
      <w:rFonts w:ascii="宋体" w:hAnsi="宋体" w:eastAsia="宋体"/>
      <w:b/>
      <w:szCs w:val="21"/>
    </w:rPr>
  </w:style>
  <w:style w:type="character" w:customStyle="1" w:styleId="83">
    <w:name w:val="一级标题 Char"/>
    <w:basedOn w:val="29"/>
    <w:link w:val="80"/>
    <w:qFormat/>
    <w:uiPriority w:val="0"/>
    <w:rPr>
      <w:rFonts w:ascii="宋体" w:hAnsi="宋体" w:eastAsia="宋体"/>
      <w:b/>
      <w:sz w:val="24"/>
    </w:rPr>
  </w:style>
  <w:style w:type="paragraph" w:customStyle="1" w:styleId="84">
    <w:name w:val="一级表格标题"/>
    <w:basedOn w:val="80"/>
    <w:link w:val="88"/>
    <w:qFormat/>
    <w:uiPriority w:val="0"/>
    <w:pPr>
      <w:jc w:val="center"/>
      <w:outlineLvl w:val="9"/>
    </w:pPr>
  </w:style>
  <w:style w:type="character" w:customStyle="1" w:styleId="85">
    <w:name w:val="二级标题 Char"/>
    <w:basedOn w:val="29"/>
    <w:link w:val="82"/>
    <w:qFormat/>
    <w:uiPriority w:val="0"/>
    <w:rPr>
      <w:rFonts w:ascii="宋体" w:hAnsi="宋体" w:eastAsia="宋体"/>
      <w:b/>
      <w:szCs w:val="21"/>
    </w:rPr>
  </w:style>
  <w:style w:type="character" w:customStyle="1" w:styleId="86">
    <w:name w:val="无间隔 Char"/>
    <w:link w:val="87"/>
    <w:qFormat/>
    <w:uiPriority w:val="0"/>
    <w:rPr>
      <w:rFonts w:ascii="Calibri" w:hAnsi="Calibri"/>
      <w:sz w:val="22"/>
    </w:rPr>
  </w:style>
  <w:style w:type="paragraph" w:styleId="87">
    <w:name w:val="No Spacing"/>
    <w:link w:val="86"/>
    <w:qFormat/>
    <w:uiPriority w:val="0"/>
    <w:rPr>
      <w:rFonts w:ascii="Calibri" w:hAnsi="Calibri" w:eastAsiaTheme="minorEastAsia" w:cstheme="minorBidi"/>
      <w:kern w:val="2"/>
      <w:sz w:val="22"/>
      <w:szCs w:val="22"/>
      <w:lang w:val="en-US" w:eastAsia="zh-CN" w:bidi="ar-SA"/>
    </w:rPr>
  </w:style>
  <w:style w:type="character" w:customStyle="1" w:styleId="88">
    <w:name w:val="一级表格标题 Char"/>
    <w:basedOn w:val="83"/>
    <w:link w:val="84"/>
    <w:qFormat/>
    <w:uiPriority w:val="0"/>
    <w:rPr>
      <w:rFonts w:ascii="宋体" w:hAnsi="宋体" w:eastAsia="宋体"/>
      <w:sz w:val="24"/>
    </w:rPr>
  </w:style>
  <w:style w:type="paragraph" w:styleId="89">
    <w:name w:val="List Paragraph"/>
    <w:basedOn w:val="1"/>
    <w:qFormat/>
    <w:uiPriority w:val="34"/>
    <w:pPr>
      <w:ind w:firstLine="420" w:firstLineChars="200"/>
    </w:pPr>
    <w:rPr>
      <w:rFonts w:ascii="Times New Roman" w:hAnsi="Times New Roman" w:eastAsia="宋体" w:cs="Times New Roman"/>
      <w:szCs w:val="24"/>
    </w:rPr>
  </w:style>
  <w:style w:type="paragraph" w:customStyle="1" w:styleId="90">
    <w:name w:val="二级表格标题"/>
    <w:basedOn w:val="82"/>
    <w:link w:val="91"/>
    <w:qFormat/>
    <w:uiPriority w:val="0"/>
    <w:pPr>
      <w:jc w:val="center"/>
    </w:pPr>
  </w:style>
  <w:style w:type="character" w:customStyle="1" w:styleId="91">
    <w:name w:val="二级表格标题 Char"/>
    <w:basedOn w:val="85"/>
    <w:link w:val="90"/>
    <w:qFormat/>
    <w:uiPriority w:val="0"/>
    <w:rPr>
      <w:rFonts w:ascii="宋体" w:hAnsi="宋体" w:eastAsia="宋体"/>
      <w:szCs w:val="21"/>
    </w:rPr>
  </w:style>
  <w:style w:type="paragraph" w:customStyle="1" w:styleId="92">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3">
    <w:name w:val="目录123"/>
    <w:basedOn w:val="2"/>
    <w:qFormat/>
    <w:uiPriority w:val="0"/>
    <w:pPr>
      <w:spacing w:line="360" w:lineRule="auto"/>
      <w:jc w:val="center"/>
    </w:pPr>
    <w:rPr>
      <w:rFonts w:ascii="宋体" w:hAnsi="宋体" w:eastAsia="黑体"/>
    </w:rPr>
  </w:style>
  <w:style w:type="paragraph" w:customStyle="1" w:styleId="94">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5">
    <w:name w:val="标题 #11"/>
    <w:basedOn w:val="96"/>
    <w:unhideWhenUsed/>
    <w:qFormat/>
    <w:uiPriority w:val="99"/>
    <w:rPr>
      <w:rFonts w:ascii="宋体" w:hAnsi="宋体" w:eastAsia="宋体"/>
      <w:spacing w:val="-10"/>
      <w:sz w:val="30"/>
      <w:shd w:val="clear" w:color="auto" w:fill="FFFFFF"/>
    </w:rPr>
  </w:style>
  <w:style w:type="character" w:customStyle="1" w:styleId="96">
    <w:name w:val="标题 #1_"/>
    <w:basedOn w:val="29"/>
    <w:link w:val="97"/>
    <w:unhideWhenUsed/>
    <w:qFormat/>
    <w:uiPriority w:val="99"/>
    <w:rPr>
      <w:rFonts w:ascii="宋体" w:hAnsi="宋体" w:eastAsia="宋体"/>
      <w:spacing w:val="-10"/>
      <w:sz w:val="30"/>
      <w:shd w:val="clear" w:color="auto" w:fill="FFFFFF"/>
    </w:rPr>
  </w:style>
  <w:style w:type="paragraph" w:customStyle="1" w:styleId="97">
    <w:name w:val="标题 #1"/>
    <w:basedOn w:val="1"/>
    <w:link w:val="96"/>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8">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9">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样式 目录1 + 居中 首行缩进:  0 字符"/>
    <w:basedOn w:val="102"/>
    <w:qFormat/>
    <w:uiPriority w:val="0"/>
    <w:pPr>
      <w:numPr>
        <w:numId w:val="0"/>
      </w:numPr>
      <w:jc w:val="center"/>
    </w:pPr>
    <w:rPr>
      <w:rFonts w:ascii="Calibri" w:hAnsi="Calibri" w:cs="宋体"/>
      <w:bCs/>
      <w:sz w:val="28"/>
      <w:szCs w:val="20"/>
    </w:rPr>
  </w:style>
  <w:style w:type="paragraph" w:customStyle="1" w:styleId="102">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3">
    <w:name w:val="副标题 Char"/>
    <w:basedOn w:val="29"/>
    <w:link w:val="19"/>
    <w:qFormat/>
    <w:uiPriority w:val="11"/>
    <w:rPr>
      <w:rFonts w:eastAsia="宋体" w:asciiTheme="majorHAnsi" w:hAnsiTheme="majorHAnsi" w:cstheme="majorBidi"/>
      <w:b/>
      <w:bCs/>
      <w:kern w:val="28"/>
      <w:sz w:val="32"/>
      <w:szCs w:val="32"/>
    </w:rPr>
  </w:style>
  <w:style w:type="character" w:customStyle="1" w:styleId="104">
    <w:name w:val="Char Char61"/>
    <w:qFormat/>
    <w:uiPriority w:val="0"/>
    <w:rPr>
      <w:rFonts w:ascii="Cambria" w:hAnsi="Cambria" w:eastAsia="宋体"/>
      <w:b/>
      <w:bCs/>
      <w:kern w:val="2"/>
      <w:sz w:val="32"/>
      <w:szCs w:val="32"/>
      <w:lang w:bidi="ar-SA"/>
    </w:rPr>
  </w:style>
  <w:style w:type="paragraph" w:customStyle="1" w:styleId="105">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6">
    <w:name w:val="列出段落2"/>
    <w:basedOn w:val="1"/>
    <w:qFormat/>
    <w:uiPriority w:val="34"/>
    <w:pPr>
      <w:ind w:firstLine="420" w:firstLineChars="200"/>
    </w:pPr>
    <w:rPr>
      <w:rFonts w:ascii="Times New Roman" w:hAnsi="Times New Roman" w:eastAsia="宋体" w:cs="Times New Roman"/>
      <w:szCs w:val="24"/>
    </w:rPr>
  </w:style>
  <w:style w:type="character" w:customStyle="1" w:styleId="107">
    <w:name w:val="Char Char62"/>
    <w:qFormat/>
    <w:uiPriority w:val="0"/>
    <w:rPr>
      <w:rFonts w:ascii="Cambria" w:hAnsi="Cambria" w:eastAsia="宋体"/>
      <w:b/>
      <w:bCs/>
      <w:kern w:val="2"/>
      <w:sz w:val="32"/>
      <w:szCs w:val="32"/>
      <w:lang w:bidi="ar-SA"/>
    </w:rPr>
  </w:style>
  <w:style w:type="paragraph" w:customStyle="1" w:styleId="108">
    <w:name w:val="列出段落3"/>
    <w:basedOn w:val="1"/>
    <w:qFormat/>
    <w:uiPriority w:val="34"/>
    <w:pPr>
      <w:ind w:firstLine="420" w:firstLineChars="200"/>
    </w:pPr>
    <w:rPr>
      <w:rFonts w:ascii="Times New Roman" w:hAnsi="Times New Roman" w:eastAsia="宋体" w:cs="Times New Roman"/>
      <w:szCs w:val="24"/>
    </w:rPr>
  </w:style>
  <w:style w:type="paragraph" w:customStyle="1" w:styleId="109">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0">
    <w:name w:val="正文文本缩进 字符"/>
    <w:qFormat/>
    <w:uiPriority w:val="0"/>
    <w:rPr>
      <w:rFonts w:eastAsia="宋体"/>
      <w:kern w:val="2"/>
      <w:sz w:val="21"/>
      <w:szCs w:val="24"/>
      <w:lang w:bidi="ar-SA"/>
    </w:rPr>
  </w:style>
  <w:style w:type="character" w:customStyle="1" w:styleId="111">
    <w:name w:val="页眉 字符"/>
    <w:qFormat/>
    <w:uiPriority w:val="0"/>
    <w:rPr>
      <w:rFonts w:eastAsia="宋体"/>
      <w:kern w:val="2"/>
      <w:sz w:val="18"/>
      <w:szCs w:val="18"/>
      <w:lang w:bidi="ar-SA"/>
    </w:rPr>
  </w:style>
  <w:style w:type="character" w:customStyle="1" w:styleId="112">
    <w:name w:val="页脚 字符"/>
    <w:qFormat/>
    <w:uiPriority w:val="99"/>
    <w:rPr>
      <w:rFonts w:eastAsia="宋体"/>
      <w:kern w:val="2"/>
      <w:sz w:val="18"/>
      <w:szCs w:val="18"/>
      <w:lang w:bidi="ar-SA"/>
    </w:rPr>
  </w:style>
  <w:style w:type="character" w:customStyle="1" w:styleId="113">
    <w:name w:val="无间隔 字符"/>
    <w:qFormat/>
    <w:uiPriority w:val="0"/>
    <w:rPr>
      <w:rFonts w:ascii="Calibri" w:hAnsi="Calibri"/>
      <w:sz w:val="22"/>
      <w:szCs w:val="22"/>
      <w:lang w:val="en-US" w:eastAsia="zh-CN" w:bidi="ar-SA"/>
    </w:rPr>
  </w:style>
  <w:style w:type="character" w:customStyle="1" w:styleId="114">
    <w:name w:val="批注框文本 字符"/>
    <w:qFormat/>
    <w:uiPriority w:val="0"/>
    <w:rPr>
      <w:rFonts w:eastAsia="宋体"/>
      <w:kern w:val="2"/>
      <w:sz w:val="18"/>
      <w:szCs w:val="18"/>
      <w:lang w:val="en-US" w:eastAsia="zh-CN" w:bidi="ar-SA"/>
    </w:rPr>
  </w:style>
  <w:style w:type="character" w:customStyle="1" w:styleId="115">
    <w:name w:val="标题 2 字符"/>
    <w:qFormat/>
    <w:uiPriority w:val="0"/>
    <w:rPr>
      <w:rFonts w:ascii="宋体" w:hAnsi="宋体" w:eastAsia="宋体" w:cs="宋体"/>
      <w:b/>
      <w:bCs/>
      <w:sz w:val="36"/>
      <w:szCs w:val="36"/>
      <w:lang w:val="en-US" w:eastAsia="zh-CN" w:bidi="ar-SA"/>
    </w:rPr>
  </w:style>
  <w:style w:type="character" w:customStyle="1" w:styleId="116">
    <w:name w:val="标题 1 字符"/>
    <w:qFormat/>
    <w:uiPriority w:val="0"/>
    <w:rPr>
      <w:rFonts w:eastAsia="宋体"/>
      <w:b/>
      <w:bCs/>
      <w:kern w:val="44"/>
      <w:sz w:val="44"/>
      <w:szCs w:val="44"/>
      <w:lang w:bidi="ar-SA"/>
    </w:rPr>
  </w:style>
  <w:style w:type="character" w:customStyle="1" w:styleId="117">
    <w:name w:val="批注文字 字符"/>
    <w:qFormat/>
    <w:uiPriority w:val="0"/>
    <w:rPr>
      <w:kern w:val="2"/>
      <w:sz w:val="21"/>
      <w:szCs w:val="24"/>
    </w:rPr>
  </w:style>
  <w:style w:type="character" w:customStyle="1" w:styleId="118">
    <w:name w:val="标题 字符"/>
    <w:qFormat/>
    <w:uiPriority w:val="0"/>
    <w:rPr>
      <w:rFonts w:ascii="Cambria" w:hAnsi="Cambria" w:eastAsia="宋体"/>
      <w:b/>
      <w:bCs/>
      <w:kern w:val="2"/>
      <w:sz w:val="32"/>
      <w:szCs w:val="32"/>
      <w:lang w:bidi="ar-SA"/>
    </w:rPr>
  </w:style>
  <w:style w:type="character" w:customStyle="1" w:styleId="119">
    <w:name w:val="纯文本 字符"/>
    <w:qFormat/>
    <w:uiPriority w:val="0"/>
    <w:rPr>
      <w:rFonts w:ascii="宋体" w:hAnsi="Courier New" w:eastAsia="宋体"/>
      <w:kern w:val="2"/>
      <w:sz w:val="21"/>
      <w:szCs w:val="21"/>
      <w:lang w:bidi="ar-SA"/>
    </w:rPr>
  </w:style>
  <w:style w:type="paragraph" w:customStyle="1" w:styleId="120">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1">
    <w:name w:val="样式1 字符"/>
    <w:basedOn w:val="81"/>
    <w:link w:val="34"/>
    <w:qFormat/>
    <w:uiPriority w:val="0"/>
    <w:rPr>
      <w:rFonts w:ascii="宋体" w:hAnsi="宋体" w:eastAsia="宋体" w:cs="宋体"/>
      <w:b w:val="0"/>
      <w:color w:val="000000"/>
      <w:sz w:val="28"/>
      <w:szCs w:val="28"/>
    </w:rPr>
  </w:style>
  <w:style w:type="character" w:customStyle="1" w:styleId="122">
    <w:name w:val="无间隔 Char1"/>
    <w:qFormat/>
    <w:uiPriority w:val="0"/>
    <w:rPr>
      <w:rFonts w:ascii="Calibri" w:hAnsi="Calibri"/>
      <w:sz w:val="22"/>
      <w:szCs w:val="22"/>
      <w:lang w:val="en-US" w:eastAsia="zh-CN" w:bidi="ar-SA"/>
    </w:rPr>
  </w:style>
  <w:style w:type="character" w:customStyle="1" w:styleId="123">
    <w:name w:val="font41"/>
    <w:basedOn w:val="29"/>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2"/>
    <customShpInfo spid="_x0000_s2051"/>
    <customShpInfo spid="_x0000_s2050"/>
    <customShpInfo spid="_x0000_s2049"/>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9DA1F-E082-4180-9453-1F0E10501C8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14976</Words>
  <Characters>16863</Characters>
  <Lines>152</Lines>
  <Paragraphs>42</Paragraphs>
  <TotalTime>6</TotalTime>
  <ScaleCrop>false</ScaleCrop>
  <LinksUpToDate>false</LinksUpToDate>
  <CharactersWithSpaces>17152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2022-03-21T07:22:00Z</dcterms:created>
  <dc:creator>pc</dc:creator>
  <cp:lastModifiedBy>贾志国</cp:lastModifiedBy>
  <cp:lastPrinted>2022-04-27T08:54:00Z</cp:lastPrinted>
  <dcterms:modified xsi:type="dcterms:W3CDTF">2023-02-23T00:18:18Z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76431B05D2AE4538BA4D756FAF4DD257</vt:lpwstr>
  </property>
</Properties>
</file>