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center"/>
        <w:rPr>
          <w:rFonts w:hint="eastAsia" w:ascii="宋体" w:hAnsi="宋体" w:eastAsia="宋体" w:cs="宋体"/>
          <w:b/>
          <w:bCs w:val="0"/>
          <w:i w:val="0"/>
          <w:caps w:val="0"/>
          <w:color w:val="000000" w:themeColor="text1"/>
          <w:spacing w:val="8"/>
          <w:sz w:val="28"/>
          <w:szCs w:val="28"/>
          <w14:textFill>
            <w14:solidFill>
              <w14:schemeClr w14:val="tx1"/>
            </w14:solidFill>
          </w14:textFill>
        </w:rPr>
      </w:pPr>
      <w:r>
        <w:rPr>
          <w:rStyle w:val="11"/>
          <w:rFonts w:hint="eastAsia" w:ascii="宋体" w:hAnsi="宋体" w:eastAsia="宋体" w:cs="宋体"/>
          <w:b/>
          <w:bCs w:val="0"/>
          <w:i w:val="0"/>
          <w:caps w:val="0"/>
          <w:color w:val="000000" w:themeColor="text1"/>
          <w:spacing w:val="8"/>
          <w:sz w:val="28"/>
          <w:szCs w:val="28"/>
          <w:bdr w:val="none" w:color="auto" w:sz="0" w:space="0"/>
          <w:shd w:val="clear" w:fill="FFFFFF"/>
          <w14:textFill>
            <w14:solidFill>
              <w14:schemeClr w14:val="tx1"/>
            </w14:solidFill>
          </w14:textFill>
        </w:rPr>
        <w:t>关于印发《现代职业教育质量提升计划资金管理办法》的通知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center"/>
        <w:rPr>
          <w:rFonts w:hint="eastAsia" w:ascii="Microsoft YaHei UI" w:hAnsi="Microsoft YaHei UI" w:eastAsia="Microsoft YaHei UI" w:cs="Microsoft YaHei UI"/>
          <w:i w:val="0"/>
          <w:caps w:val="0"/>
          <w:color w:val="333333"/>
          <w:spacing w:val="8"/>
          <w:sz w:val="25"/>
          <w:szCs w:val="25"/>
        </w:rPr>
      </w:pPr>
      <w:r>
        <w:rPr>
          <w:rFonts w:hint="eastAsia" w:ascii="Microsoft YaHei UI" w:hAnsi="Microsoft YaHei UI" w:eastAsia="Microsoft YaHei UI" w:cs="Microsoft YaHei UI"/>
          <w:i w:val="0"/>
          <w:caps w:val="0"/>
          <w:color w:val="333333"/>
          <w:spacing w:val="8"/>
          <w:sz w:val="27"/>
          <w:szCs w:val="27"/>
          <w:bdr w:val="none" w:color="auto" w:sz="0" w:space="0"/>
          <w:shd w:val="clear" w:fill="FFFFFF"/>
        </w:rPr>
        <w:t>财教〔2021〕270号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Microsoft YaHei UI" w:hAnsi="Microsoft YaHei UI" w:eastAsia="Microsoft YaHei UI" w:cs="Microsoft YaHei UI"/>
          <w:i w:val="0"/>
          <w:caps w:val="0"/>
          <w:color w:val="333333"/>
          <w:spacing w:val="8"/>
          <w:sz w:val="27"/>
          <w:szCs w:val="27"/>
          <w:bdr w:val="none" w:color="auto" w:sz="0" w:space="0"/>
          <w:shd w:val="clear" w:fill="FFFFFF"/>
        </w:rPr>
        <w:t>各省、自治区、直辖市、计划单列市财政厅（局）、教育厅（局、教委），新疆生产建设兵团财政局、教育局：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Microsoft YaHei UI" w:hAnsi="Microsoft YaHei UI" w:eastAsia="Microsoft YaHei UI" w:cs="Microsoft YaHei UI"/>
          <w:i w:val="0"/>
          <w:caps w:val="0"/>
          <w:color w:val="333333"/>
          <w:spacing w:val="8"/>
          <w:sz w:val="27"/>
          <w:szCs w:val="27"/>
          <w:bdr w:val="none" w:color="auto" w:sz="0" w:space="0"/>
          <w:shd w:val="clear" w:fill="FFFFFF"/>
        </w:rPr>
        <w:t>　　为规范和加强现代职业教育质量提升计划资金管理，提高资金使用效益，我们对《现代职业教育质量提升计划资金管理办法》进行了修订，现印发给你们，请遵照执行。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both"/>
        <w:rPr>
          <w:rFonts w:hint="eastAsia" w:ascii="Microsoft YaHei UI" w:hAnsi="Microsoft YaHei UI" w:eastAsia="Microsoft YaHei UI" w:cs="Microsoft YaHei UI"/>
          <w:i w:val="0"/>
          <w:caps w:val="0"/>
          <w:color w:val="333333"/>
          <w:spacing w:val="8"/>
          <w:sz w:val="25"/>
          <w:szCs w:val="25"/>
        </w:rPr>
      </w:pPr>
      <w:r>
        <w:rPr>
          <w:rFonts w:hint="eastAsia" w:ascii="Microsoft YaHei UI" w:hAnsi="Microsoft YaHei UI" w:eastAsia="Microsoft YaHei UI" w:cs="Microsoft YaHei UI"/>
          <w:i w:val="0"/>
          <w:caps w:val="0"/>
          <w:color w:val="333333"/>
          <w:spacing w:val="8"/>
          <w:sz w:val="27"/>
          <w:szCs w:val="27"/>
          <w:bdr w:val="none" w:color="auto" w:sz="0" w:space="0"/>
          <w:shd w:val="clear" w:fill="FFFFFF"/>
        </w:rPr>
        <w:t>　　附件：现代职业教育质量提升计划资金管理办法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right"/>
        <w:rPr>
          <w:rFonts w:hint="eastAsia" w:ascii="Microsoft YaHei UI" w:hAnsi="Microsoft YaHei UI" w:eastAsia="Microsoft YaHei UI" w:cs="Microsoft YaHei UI"/>
          <w:i w:val="0"/>
          <w:caps w:val="0"/>
          <w:color w:val="333333"/>
          <w:spacing w:val="8"/>
          <w:sz w:val="25"/>
          <w:szCs w:val="25"/>
        </w:rPr>
      </w:pPr>
      <w:r>
        <w:rPr>
          <w:rFonts w:hint="eastAsia" w:ascii="Microsoft YaHei UI" w:hAnsi="Microsoft YaHei UI" w:eastAsia="Microsoft YaHei UI" w:cs="Microsoft YaHei UI"/>
          <w:i w:val="0"/>
          <w:caps w:val="0"/>
          <w:color w:val="333333"/>
          <w:spacing w:val="8"/>
          <w:sz w:val="27"/>
          <w:szCs w:val="27"/>
          <w:bdr w:val="none" w:color="auto" w:sz="0" w:space="0"/>
          <w:shd w:val="clear" w:fill="FFFFFF"/>
        </w:rPr>
        <w:t>　　财政部 教育部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15" w:lineRule="atLeast"/>
        <w:ind w:left="0" w:right="0" w:firstLine="0"/>
        <w:jc w:val="right"/>
        <w:rPr>
          <w:rFonts w:hint="eastAsia" w:ascii="Microsoft YaHei UI" w:hAnsi="Microsoft YaHei UI" w:eastAsia="Microsoft YaHei UI" w:cs="Microsoft YaHei UI"/>
          <w:i w:val="0"/>
          <w:caps w:val="0"/>
          <w:color w:val="333333"/>
          <w:spacing w:val="8"/>
          <w:sz w:val="25"/>
          <w:szCs w:val="25"/>
        </w:rPr>
      </w:pPr>
      <w:r>
        <w:rPr>
          <w:rFonts w:hint="eastAsia" w:ascii="Microsoft YaHei UI" w:hAnsi="Microsoft YaHei UI" w:eastAsia="Microsoft YaHei UI" w:cs="Microsoft YaHei UI"/>
          <w:i w:val="0"/>
          <w:caps w:val="0"/>
          <w:color w:val="333333"/>
          <w:spacing w:val="8"/>
          <w:sz w:val="27"/>
          <w:szCs w:val="27"/>
          <w:bdr w:val="none" w:color="auto" w:sz="0" w:space="0"/>
          <w:shd w:val="clear" w:fill="FFFFFF"/>
        </w:rPr>
        <w:t>　　2021年11月9日</w:t>
      </w:r>
    </w:p>
    <w:p>
      <w:pPr>
        <w:widowControl/>
        <w:spacing w:line="600" w:lineRule="exact"/>
        <w:jc w:val="center"/>
        <w:rPr>
          <w:rFonts w:ascii="宋体" w:hAnsi="宋体" w:eastAsia="方正小标宋简体" w:cs="华文中宋"/>
          <w:color w:val="000000"/>
          <w:kern w:val="0"/>
          <w:sz w:val="32"/>
          <w:szCs w:val="32"/>
        </w:rPr>
      </w:pPr>
    </w:p>
    <w:p>
      <w:pPr>
        <w:widowControl/>
        <w:spacing w:line="600" w:lineRule="exact"/>
        <w:jc w:val="center"/>
        <w:rPr>
          <w:rFonts w:ascii="宋体" w:hAnsi="宋体" w:eastAsia="方正小标宋简体" w:cs="华文中宋"/>
          <w:color w:val="000000"/>
          <w:kern w:val="0"/>
          <w:sz w:val="32"/>
          <w:szCs w:val="32"/>
        </w:rPr>
      </w:pPr>
    </w:p>
    <w:p>
      <w:pPr>
        <w:widowControl/>
        <w:spacing w:line="600" w:lineRule="exact"/>
        <w:jc w:val="center"/>
        <w:rPr>
          <w:rFonts w:ascii="宋体" w:hAnsi="宋体" w:eastAsia="方正小标宋简体" w:cs="华文中宋"/>
          <w:color w:val="000000"/>
          <w:kern w:val="0"/>
          <w:sz w:val="32"/>
          <w:szCs w:val="32"/>
        </w:rPr>
      </w:pPr>
    </w:p>
    <w:p>
      <w:pPr>
        <w:widowControl/>
        <w:spacing w:line="600" w:lineRule="exact"/>
        <w:jc w:val="center"/>
        <w:rPr>
          <w:rFonts w:ascii="宋体" w:hAnsi="宋体" w:eastAsia="方正小标宋简体" w:cs="华文中宋"/>
          <w:color w:val="000000"/>
          <w:kern w:val="0"/>
          <w:sz w:val="32"/>
          <w:szCs w:val="32"/>
        </w:rPr>
      </w:pPr>
    </w:p>
    <w:p>
      <w:pPr>
        <w:widowControl/>
        <w:spacing w:line="600" w:lineRule="exact"/>
        <w:jc w:val="center"/>
        <w:rPr>
          <w:rFonts w:ascii="宋体" w:hAnsi="宋体" w:eastAsia="方正小标宋简体" w:cs="华文中宋"/>
          <w:color w:val="000000"/>
          <w:kern w:val="0"/>
          <w:sz w:val="32"/>
          <w:szCs w:val="32"/>
        </w:rPr>
      </w:pPr>
    </w:p>
    <w:p>
      <w:pPr>
        <w:widowControl/>
        <w:spacing w:line="600" w:lineRule="exact"/>
        <w:jc w:val="center"/>
        <w:rPr>
          <w:rFonts w:ascii="宋体" w:hAnsi="宋体" w:eastAsia="方正小标宋简体" w:cs="华文中宋"/>
          <w:color w:val="000000"/>
          <w:kern w:val="0"/>
          <w:sz w:val="32"/>
          <w:szCs w:val="32"/>
        </w:rPr>
      </w:pPr>
    </w:p>
    <w:p>
      <w:pPr>
        <w:widowControl/>
        <w:spacing w:line="600" w:lineRule="exact"/>
        <w:jc w:val="center"/>
        <w:rPr>
          <w:rFonts w:ascii="宋体" w:hAnsi="宋体" w:eastAsia="方正小标宋简体" w:cs="华文中宋"/>
          <w:color w:val="000000"/>
          <w:kern w:val="0"/>
          <w:sz w:val="32"/>
          <w:szCs w:val="32"/>
        </w:rPr>
      </w:pPr>
    </w:p>
    <w:p>
      <w:pPr>
        <w:widowControl/>
        <w:spacing w:line="600" w:lineRule="exact"/>
        <w:jc w:val="both"/>
        <w:rPr>
          <w:rFonts w:ascii="宋体" w:hAnsi="宋体" w:eastAsia="方正小标宋简体" w:cs="华文中宋"/>
          <w:color w:val="000000"/>
          <w:kern w:val="0"/>
          <w:sz w:val="32"/>
          <w:szCs w:val="32"/>
        </w:rPr>
      </w:pPr>
      <w:bookmarkStart w:id="0" w:name="_GoBack"/>
      <w:bookmarkEnd w:id="0"/>
    </w:p>
    <w:p>
      <w:pPr>
        <w:widowControl/>
        <w:spacing w:line="600" w:lineRule="exact"/>
        <w:jc w:val="center"/>
        <w:rPr>
          <w:rFonts w:ascii="宋体" w:hAnsi="宋体" w:eastAsia="方正小标宋简体" w:cs="华文中宋"/>
          <w:color w:val="000000"/>
          <w:kern w:val="0"/>
          <w:sz w:val="32"/>
          <w:szCs w:val="32"/>
        </w:rPr>
      </w:pPr>
      <w:r>
        <w:rPr>
          <w:sz w:val="32"/>
        </w:rPr>
        <mc:AlternateContent>
          <mc:Choice Requires="wps">
            <w:drawing>
              <wp:anchor distT="0" distB="0" distL="114300" distR="114300" simplePos="0" relativeHeight="251658240" behindDoc="0" locked="0" layoutInCell="1" allowOverlap="1">
                <wp:simplePos x="0" y="0"/>
                <wp:positionH relativeFrom="column">
                  <wp:posOffset>-88900</wp:posOffset>
                </wp:positionH>
                <wp:positionV relativeFrom="paragraph">
                  <wp:posOffset>9525</wp:posOffset>
                </wp:positionV>
                <wp:extent cx="905510" cy="419735"/>
                <wp:effectExtent l="4445" t="4445" r="23495" b="13970"/>
                <wp:wrapNone/>
                <wp:docPr id="1" name="文本框 1"/>
                <wp:cNvGraphicFramePr/>
                <a:graphic xmlns:a="http://schemas.openxmlformats.org/drawingml/2006/main">
                  <a:graphicData uri="http://schemas.microsoft.com/office/word/2010/wordprocessingShape">
                    <wps:wsp>
                      <wps:cNvSpPr txBox="1"/>
                      <wps:spPr>
                        <a:xfrm>
                          <a:off x="1160780" y="931545"/>
                          <a:ext cx="905510" cy="41973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pt;margin-top:0.75pt;height:33.05pt;width:71.3pt;z-index:251658240;mso-width-relative:page;mso-height-relative:page;" fillcolor="#FFFFFF [3201]" filled="t" stroked="t" coordsize="21600,21600" o:gfxdata="UEsDBAoAAAAAAIdO4kAAAAAAAAAAAAAAAAAEAAAAZHJzL1BLAwQUAAAACACHTuJAI2Isg9cAAAAI&#10;AQAADwAAAGRycy9kb3ducmV2LnhtbE2Py26DMBBF95X6D9ZU6i4xRAlFFJNFpe6qSKTpYznBE0DF&#10;Y4INpH9fZ5UuR2d077n59mI6MdHgWssK4mUEgriyuuVaweH9dZGCcB5ZY2eZFPySg21xf5djpu3M&#10;JU17X4sQwi5DBY33fSalqxoy6Ja2Jw7sZAeDPpxDLfWAcwg3nVxFUSINthwaGuzppaHqZz8aBbtp&#10;tB/156b64u+5dOnpXL6lZ6UeH+LoGYSni789w1U/qEMRnI52ZO1Ep2ARr8MWH8AGxJWv0gTEUUHy&#10;lIAscvl/QPEHUEsDBBQAAAAIAIdO4kAu7t4zWwIAAMIEAAAOAAAAZHJzL2Uyb0RvYy54bWytVM1u&#10;EzEQviPxDpbvZHfz1ybqpgqtgpAqWqkgzo7Xm7Vke4ztZLc8ALwBJy7cea4+B2Pv9hcOPZCDM+Nv&#10;8o3nm5mcnHZakYNwXoIpaTHKKRGGQyXNrqSfPm7eHFPiAzMVU2BESW+Ep6er169OWrsUY2hAVcIR&#10;JDF+2dqSNiHYZZZ53gjN/AisMAjW4DQL6LpdVjnWIrtW2TjP51kLrrIOuPAeb897kA6M7iWEUNeS&#10;i3Pgey1M6FmdUCxgSb6R1tNVem1dCx4u69qLQFRJsdKQTkyC9jae2eqELXeO2Uby4QnsJU94VpNm&#10;0mDSe6pzFhjZO/kXlZbcgYc6jDjorC8kKYJVFPkzba4bZkWqBaX29l50//9o+YfDlSOywkmgxDCN&#10;Db/98f325+/bX99IEeVprV9i1LXFuNC9hS6GDvceL2PVXe10/MZ6SMSLeX50jBLflHQxKWbTWa+z&#10;6ALhiC/y2axAmCM+LRZHk4RnDzzW+fBOgCbRKKnDNiZ12eHCB8yNoXchMa0HJauNVCo5brc9U44c&#10;GLZ8kz4xO/7kSZgypC3pfDLLE/MTzL+EAgmVQd6oT69DtEK37QZxtlDdoGYO+qHzlm8klnPBfLhi&#10;DqcMFcA9DJd41ArwNTBYlDTgvv7rPsZj8xGlpMWpLan/smdOUKLeGxyLRTGdIm1IznR2NEbHPUa2&#10;jxGz12eAKmHr8XXJjPFB3Zm1A/0Z13UdsyLEDMfcJQ135lnodwnXnYv1OgXhYFsWLsy15ZE69sTA&#10;eh+glql3UaZem0E9HO3Un2EN4+489lPUw1/P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jYiyD&#10;1wAAAAgBAAAPAAAAAAAAAAEAIAAAACIAAABkcnMvZG93bnJldi54bWxQSwECFAAUAAAACACHTuJA&#10;Lu7eM1sCAADCBAAADgAAAAAAAAABACAAAAAmAQAAZHJzL2Uyb0RvYy54bWxQSwUGAAAAAAYABgBZ&#10;AQAA8wUAAAAA&#10;">
                <v:fill on="t" focussize="0,0"/>
                <v:stroke weight="0.5pt" color="#FFFFFF [3212]" joinstyle="round"/>
                <v:imagedata o:title=""/>
                <o:lock v:ext="edit" aspectratio="f"/>
                <v:textbox>
                  <w:txbxContent>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txbxContent>
                </v:textbox>
              </v:shape>
            </w:pict>
          </mc:Fallback>
        </mc:AlternateContent>
      </w:r>
    </w:p>
    <w:p>
      <w:pPr>
        <w:widowControl/>
        <w:spacing w:line="600" w:lineRule="exact"/>
        <w:jc w:val="center"/>
        <w:rPr>
          <w:rFonts w:hint="eastAsia" w:ascii="宋体" w:hAnsi="宋体" w:eastAsia="方正小标宋简体" w:cs="华文中宋"/>
          <w:color w:val="000000"/>
          <w:kern w:val="0"/>
          <w:sz w:val="43"/>
          <w:szCs w:val="43"/>
        </w:rPr>
      </w:pPr>
    </w:p>
    <w:p>
      <w:pPr>
        <w:widowControl/>
        <w:spacing w:line="600" w:lineRule="exact"/>
        <w:jc w:val="center"/>
        <w:rPr>
          <w:rFonts w:hint="eastAsia" w:asciiTheme="majorEastAsia" w:hAnsiTheme="majorEastAsia" w:eastAsiaTheme="majorEastAsia" w:cstheme="majorEastAsia"/>
          <w:b/>
          <w:bCs/>
          <w:color w:val="000000"/>
          <w:kern w:val="0"/>
          <w:sz w:val="40"/>
          <w:szCs w:val="40"/>
        </w:rPr>
      </w:pPr>
      <w:r>
        <w:rPr>
          <w:rFonts w:hint="eastAsia" w:asciiTheme="majorEastAsia" w:hAnsiTheme="majorEastAsia" w:eastAsiaTheme="majorEastAsia" w:cstheme="majorEastAsia"/>
          <w:b/>
          <w:bCs/>
          <w:color w:val="000000"/>
          <w:kern w:val="0"/>
          <w:sz w:val="40"/>
          <w:szCs w:val="40"/>
        </w:rPr>
        <w:t>现代职业教育质量提升计划资金管理办法</w:t>
      </w:r>
    </w:p>
    <w:p>
      <w:pPr>
        <w:widowControl/>
        <w:spacing w:line="600" w:lineRule="exact"/>
        <w:jc w:val="center"/>
        <w:rPr>
          <w:rFonts w:hint="eastAsia" w:ascii="宋体" w:hAnsi="宋体" w:eastAsia="仿宋_GB2312" w:cs="华文中宋"/>
          <w:color w:val="000000"/>
          <w:kern w:val="0"/>
          <w:sz w:val="32"/>
          <w:szCs w:val="32"/>
        </w:rPr>
      </w:pPr>
    </w:p>
    <w:p>
      <w:pPr>
        <w:widowControl/>
        <w:spacing w:line="600" w:lineRule="exact"/>
        <w:ind w:firstLine="640" w:firstLineChars="200"/>
        <w:rPr>
          <w:rFonts w:ascii="宋体" w:hAnsi="宋体" w:eastAsia="仿宋_GB2312" w:cs="仿宋_GB2312"/>
          <w:color w:val="000000"/>
          <w:kern w:val="0"/>
          <w:sz w:val="32"/>
          <w:szCs w:val="32"/>
        </w:rPr>
      </w:pPr>
      <w:r>
        <w:rPr>
          <w:rFonts w:ascii="宋体" w:hAnsi="宋体" w:eastAsia="黑体" w:cs="Times New Roman"/>
          <w:sz w:val="32"/>
          <w:szCs w:val="32"/>
        </w:rPr>
        <w:t>第一条</w:t>
      </w:r>
      <w:r>
        <w:rPr>
          <w:rFonts w:hint="eastAsia" w:ascii="宋体" w:hAnsi="宋体" w:eastAsia="黑体" w:cs="Times New Roman"/>
          <w:sz w:val="32"/>
          <w:szCs w:val="32"/>
        </w:rPr>
        <w:t xml:space="preserve"> </w:t>
      </w:r>
      <w:r>
        <w:rPr>
          <w:rFonts w:ascii="宋体" w:hAnsi="宋体" w:eastAsia="仿宋_GB2312" w:cs="仿宋_GB2312"/>
          <w:color w:val="000000"/>
          <w:kern w:val="0"/>
          <w:sz w:val="32"/>
          <w:szCs w:val="32"/>
        </w:rPr>
        <w:t>为规范和加强现代职业教育质量提升计划资金</w:t>
      </w:r>
      <w:r>
        <w:rPr>
          <w:rFonts w:hint="eastAsia" w:ascii="宋体" w:hAnsi="宋体" w:eastAsia="仿宋_GB2312" w:cs="仿宋_GB2312"/>
          <w:color w:val="000000"/>
          <w:kern w:val="0"/>
          <w:sz w:val="32"/>
          <w:szCs w:val="32"/>
        </w:rPr>
        <w:t>管理，提高资金使用效益，根据国家预算管理有关规定，制定本办法。</w:t>
      </w:r>
    </w:p>
    <w:p>
      <w:pPr>
        <w:widowControl/>
        <w:spacing w:line="600" w:lineRule="exact"/>
        <w:ind w:firstLine="640" w:firstLineChars="200"/>
        <w:rPr>
          <w:rFonts w:hint="eastAsia" w:ascii="宋体" w:hAnsi="宋体" w:eastAsia="仿宋_GB2312" w:cs="仿宋_GB2312"/>
          <w:color w:val="000000"/>
          <w:kern w:val="0"/>
          <w:sz w:val="32"/>
          <w:szCs w:val="32"/>
        </w:rPr>
      </w:pPr>
      <w:r>
        <w:rPr>
          <w:rFonts w:hint="eastAsia" w:ascii="宋体" w:hAnsi="宋体" w:eastAsia="黑体" w:cs="Times New Roman"/>
          <w:sz w:val="32"/>
          <w:szCs w:val="32"/>
        </w:rPr>
        <w:t xml:space="preserve">第二条 </w:t>
      </w:r>
      <w:r>
        <w:rPr>
          <w:rFonts w:hint="eastAsia" w:ascii="宋体" w:hAnsi="宋体" w:eastAsia="仿宋_GB2312" w:cs="仿宋_GB2312"/>
          <w:color w:val="000000"/>
          <w:kern w:val="0"/>
          <w:sz w:val="32"/>
          <w:szCs w:val="32"/>
        </w:rPr>
        <w:t>本办法所称现代职业教育质量提升计划资金（以下称提升计划资金），是指中央财政用于</w:t>
      </w:r>
      <w:r>
        <w:rPr>
          <w:rFonts w:hint="eastAsia" w:ascii="宋体" w:hAnsi="宋体" w:eastAsia="仿宋_GB2312" w:cs="仿宋_GB2312"/>
          <w:color w:val="000000"/>
          <w:kern w:val="0"/>
          <w:sz w:val="32"/>
          <w:szCs w:val="32"/>
          <w:lang w:eastAsia="zh-CN"/>
        </w:rPr>
        <w:t>落实</w:t>
      </w:r>
      <w:r>
        <w:rPr>
          <w:rFonts w:hint="eastAsia" w:ascii="宋体" w:hAnsi="宋体" w:eastAsia="仿宋_GB2312" w:cs="仿宋_GB2312"/>
          <w:color w:val="000000"/>
          <w:kern w:val="0"/>
          <w:sz w:val="32"/>
          <w:szCs w:val="32"/>
        </w:rPr>
        <w:t>党中央、国务院有关要求</w:t>
      </w:r>
      <w:r>
        <w:rPr>
          <w:rFonts w:hint="eastAsia" w:ascii="宋体" w:hAnsi="宋体" w:eastAsia="仿宋_GB2312" w:cs="仿宋_GB2312"/>
          <w:color w:val="000000"/>
          <w:kern w:val="0"/>
          <w:sz w:val="32"/>
          <w:szCs w:val="32"/>
          <w:lang w:eastAsia="zh-CN"/>
        </w:rPr>
        <w:t>、</w:t>
      </w:r>
      <w:r>
        <w:rPr>
          <w:rFonts w:hint="eastAsia" w:ascii="宋体" w:hAnsi="宋体" w:eastAsia="仿宋_GB2312" w:cs="仿宋_GB2312"/>
          <w:color w:val="000000"/>
          <w:kern w:val="0"/>
          <w:sz w:val="32"/>
          <w:szCs w:val="32"/>
        </w:rPr>
        <w:t>支持职业教育改革发展的共同财政事权转移支付资金。实施期限根据教育领域中央与地方财政事权和支出责任划分改革方案、职业教育改革发展等政策进行调整。</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 xml:space="preserve">第三条 </w:t>
      </w:r>
      <w:r>
        <w:rPr>
          <w:rFonts w:hint="eastAsia" w:ascii="宋体" w:hAnsi="宋体" w:eastAsia="仿宋_GB2312" w:cs="仿宋_GB2312"/>
          <w:color w:val="000000"/>
          <w:kern w:val="0"/>
          <w:sz w:val="32"/>
          <w:szCs w:val="32"/>
        </w:rPr>
        <w:t>提升计划资金管理遵循“中央引导、省级统筹，</w:t>
      </w:r>
      <w:r>
        <w:rPr>
          <w:rFonts w:hint="eastAsia" w:ascii="宋体" w:hAnsi="宋体" w:eastAsia="仿宋_GB2312" w:cs="仿宋_GB2312"/>
          <w:color w:val="000000"/>
          <w:kern w:val="0"/>
          <w:sz w:val="32"/>
          <w:szCs w:val="32"/>
          <w:lang w:eastAsia="zh-CN"/>
        </w:rPr>
        <w:t>奖补结合、</w:t>
      </w:r>
      <w:r>
        <w:rPr>
          <w:rFonts w:hint="eastAsia" w:ascii="宋体" w:hAnsi="宋体" w:eastAsia="仿宋_GB2312" w:cs="仿宋_GB2312"/>
          <w:color w:val="000000"/>
          <w:kern w:val="0"/>
          <w:sz w:val="32"/>
          <w:szCs w:val="32"/>
        </w:rPr>
        <w:t>突出重点</w:t>
      </w:r>
      <w:r>
        <w:rPr>
          <w:rFonts w:hint="eastAsia" w:ascii="宋体" w:hAnsi="宋体" w:eastAsia="仿宋_GB2312" w:cs="仿宋_GB2312"/>
          <w:color w:val="000000"/>
          <w:kern w:val="0"/>
          <w:sz w:val="32"/>
          <w:szCs w:val="32"/>
          <w:lang w:eastAsia="zh-CN"/>
        </w:rPr>
        <w:t>，</w:t>
      </w:r>
      <w:r>
        <w:rPr>
          <w:rFonts w:hint="eastAsia" w:ascii="宋体" w:hAnsi="宋体" w:eastAsia="仿宋_GB2312" w:cs="仿宋_GB2312"/>
          <w:color w:val="000000"/>
          <w:kern w:val="0"/>
          <w:sz w:val="32"/>
          <w:szCs w:val="32"/>
        </w:rPr>
        <w:t>规范透明、责任清晰</w:t>
      </w:r>
      <w:r>
        <w:rPr>
          <w:rFonts w:hint="eastAsia" w:ascii="宋体" w:hAnsi="宋体" w:eastAsia="仿宋_GB2312" w:cs="仿宋_GB2312"/>
          <w:color w:val="000000"/>
          <w:kern w:val="0"/>
          <w:sz w:val="32"/>
          <w:szCs w:val="32"/>
          <w:lang w:eastAsia="zh-CN"/>
        </w:rPr>
        <w:t>，</w:t>
      </w:r>
      <w:r>
        <w:rPr>
          <w:rFonts w:hint="eastAsia" w:ascii="宋体" w:hAnsi="宋体" w:eastAsia="仿宋_GB2312" w:cs="仿宋_GB2312"/>
          <w:color w:val="000000"/>
          <w:kern w:val="0"/>
          <w:sz w:val="32"/>
          <w:szCs w:val="32"/>
        </w:rPr>
        <w:t>注重绩效</w:t>
      </w:r>
      <w:r>
        <w:rPr>
          <w:rFonts w:hint="eastAsia" w:ascii="宋体" w:hAnsi="宋体" w:eastAsia="仿宋_GB2312" w:cs="仿宋_GB2312"/>
          <w:color w:val="000000"/>
          <w:kern w:val="0"/>
          <w:sz w:val="32"/>
          <w:szCs w:val="32"/>
          <w:lang w:eastAsia="zh-CN"/>
        </w:rPr>
        <w:t>、</w:t>
      </w:r>
      <w:r>
        <w:rPr>
          <w:rFonts w:hint="eastAsia" w:ascii="宋体" w:hAnsi="宋体" w:eastAsia="仿宋_GB2312" w:cs="仿宋_GB2312"/>
          <w:color w:val="000000"/>
          <w:kern w:val="0"/>
          <w:sz w:val="32"/>
          <w:szCs w:val="32"/>
        </w:rPr>
        <w:t>强化监</w:t>
      </w:r>
      <w:r>
        <w:rPr>
          <w:rFonts w:hint="eastAsia" w:ascii="宋体" w:hAnsi="宋体" w:eastAsia="仿宋_GB2312" w:cs="仿宋_GB2312"/>
          <w:color w:val="000000"/>
          <w:kern w:val="0"/>
          <w:sz w:val="32"/>
          <w:szCs w:val="32"/>
          <w:lang w:eastAsia="zh-CN"/>
        </w:rPr>
        <w:t>管</w:t>
      </w:r>
      <w:r>
        <w:rPr>
          <w:rFonts w:hint="eastAsia" w:ascii="宋体" w:hAnsi="宋体" w:eastAsia="仿宋_GB2312" w:cs="仿宋_GB2312"/>
          <w:color w:val="000000"/>
          <w:kern w:val="0"/>
          <w:sz w:val="32"/>
          <w:szCs w:val="32"/>
        </w:rPr>
        <w:t>”的原则。</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 xml:space="preserve">第四条 </w:t>
      </w:r>
      <w:r>
        <w:rPr>
          <w:rFonts w:hint="eastAsia" w:ascii="宋体" w:hAnsi="宋体" w:eastAsia="仿宋_GB2312" w:cs="仿宋_GB2312"/>
          <w:color w:val="000000"/>
          <w:kern w:val="0"/>
          <w:sz w:val="32"/>
          <w:szCs w:val="32"/>
          <w:lang w:eastAsia="zh-CN"/>
        </w:rPr>
        <w:t>提升计划资金用于</w:t>
      </w:r>
      <w:r>
        <w:rPr>
          <w:rFonts w:hint="eastAsia" w:ascii="宋体" w:hAnsi="宋体" w:eastAsia="仿宋_GB2312" w:cs="仿宋_GB2312"/>
          <w:color w:val="000000"/>
          <w:kern w:val="0"/>
          <w:sz w:val="32"/>
          <w:szCs w:val="32"/>
        </w:rPr>
        <w:t>支持增强职业教育适应性，推进</w:t>
      </w:r>
      <w:r>
        <w:rPr>
          <w:rFonts w:hint="eastAsia" w:ascii="宋体" w:hAnsi="宋体" w:eastAsia="仿宋_GB2312" w:cs="仿宋_GB2312"/>
          <w:color w:val="000000"/>
          <w:kern w:val="0"/>
          <w:sz w:val="32"/>
          <w:szCs w:val="32"/>
          <w:lang w:eastAsia="zh-CN"/>
        </w:rPr>
        <w:t>职业教育改革发展，</w:t>
      </w:r>
      <w:r>
        <w:rPr>
          <w:rFonts w:hint="eastAsia" w:ascii="宋体" w:hAnsi="宋体" w:eastAsia="仿宋_GB2312" w:cs="仿宋_GB2312"/>
          <w:color w:val="000000"/>
          <w:kern w:val="0"/>
          <w:sz w:val="32"/>
          <w:szCs w:val="32"/>
        </w:rPr>
        <w:t>加快构建现代职业教育体系</w:t>
      </w:r>
      <w:r>
        <w:rPr>
          <w:rFonts w:hint="eastAsia" w:ascii="宋体" w:hAnsi="宋体" w:eastAsia="仿宋_GB2312" w:cs="仿宋_GB2312"/>
          <w:color w:val="000000"/>
          <w:kern w:val="0"/>
          <w:sz w:val="32"/>
          <w:szCs w:val="32"/>
          <w:lang w:eastAsia="zh-CN"/>
        </w:rPr>
        <w:t>。</w:t>
      </w:r>
      <w:r>
        <w:rPr>
          <w:rFonts w:hint="eastAsia" w:ascii="宋体" w:hAnsi="宋体" w:eastAsia="仿宋_GB2312" w:cs="仿宋_GB2312"/>
          <w:color w:val="000000"/>
          <w:kern w:val="0"/>
          <w:sz w:val="32"/>
          <w:szCs w:val="32"/>
        </w:rPr>
        <w:t>具体支持内容和方式，由财政部、教育部根据党中央、国务院有关要求、相关规划以及年度重点工作等研究确定。</w:t>
      </w:r>
      <w:r>
        <w:rPr>
          <w:rFonts w:ascii="宋体" w:hAnsi="宋体" w:eastAsia="仿宋_GB2312" w:cs="Times New Roman"/>
          <w:color w:val="000000"/>
          <w:kern w:val="0"/>
          <w:sz w:val="32"/>
          <w:szCs w:val="32"/>
        </w:rPr>
        <w:t>2022-2025</w:t>
      </w:r>
      <w:r>
        <w:rPr>
          <w:rFonts w:hint="eastAsia" w:ascii="宋体" w:hAnsi="宋体" w:eastAsia="仿宋_GB2312" w:cs="仿宋_GB2312"/>
          <w:color w:val="000000"/>
          <w:kern w:val="0"/>
          <w:sz w:val="32"/>
          <w:szCs w:val="32"/>
        </w:rPr>
        <w:t>年提升计划资金重点支持：</w:t>
      </w:r>
    </w:p>
    <w:p>
      <w:pPr>
        <w:widowControl/>
        <w:spacing w:line="600" w:lineRule="exact"/>
        <w:ind w:firstLine="640" w:firstLineChars="200"/>
        <w:rPr>
          <w:rFonts w:ascii="宋体" w:hAnsi="宋体" w:eastAsia="仿宋_GB2312" w:cs="仿宋_GB2312"/>
          <w:color w:val="000000"/>
          <w:kern w:val="0"/>
          <w:sz w:val="32"/>
          <w:szCs w:val="32"/>
          <w:highlight w:val="none"/>
        </w:rPr>
      </w:pPr>
      <w:r>
        <w:rPr>
          <w:rFonts w:hint="eastAsia" w:ascii="宋体" w:hAnsi="宋体" w:eastAsia="仿宋_GB2312" w:cs="仿宋_GB2312"/>
          <w:color w:val="000000"/>
          <w:kern w:val="0"/>
          <w:sz w:val="32"/>
          <w:szCs w:val="32"/>
        </w:rPr>
        <w:t>（一）支持各地</w:t>
      </w:r>
      <w:r>
        <w:rPr>
          <w:rFonts w:hint="eastAsia" w:ascii="宋体" w:hAnsi="宋体" w:eastAsia="仿宋_GB2312" w:cs="仿宋_GB2312"/>
          <w:color w:val="000000"/>
          <w:kern w:val="0"/>
          <w:sz w:val="32"/>
          <w:szCs w:val="32"/>
          <w:lang w:eastAsia="zh-CN"/>
        </w:rPr>
        <w:t>落实</w:t>
      </w:r>
      <w:r>
        <w:rPr>
          <w:rFonts w:hint="default" w:ascii="宋体" w:hAnsi="宋体" w:eastAsia="仿宋_GB2312" w:cs="仿宋_GB2312"/>
          <w:color w:val="000000"/>
          <w:kern w:val="0"/>
          <w:sz w:val="32"/>
          <w:szCs w:val="32"/>
          <w:lang w:val="en" w:eastAsia="zh-CN"/>
        </w:rPr>
        <w:t>高等职业</w:t>
      </w:r>
      <w:r>
        <w:rPr>
          <w:rFonts w:hint="eastAsia" w:ascii="宋体" w:hAnsi="宋体" w:eastAsia="仿宋_GB2312" w:cs="仿宋_GB2312"/>
          <w:color w:val="000000"/>
          <w:kern w:val="0"/>
          <w:sz w:val="32"/>
          <w:szCs w:val="32"/>
          <w:lang w:eastAsia="zh-CN"/>
        </w:rPr>
        <w:t>学校（含职业本科学校，下同）生均拨款制度，并鼓励各地</w:t>
      </w:r>
      <w:r>
        <w:rPr>
          <w:rFonts w:hint="eastAsia" w:ascii="宋体" w:hAnsi="宋体" w:eastAsia="仿宋_GB2312" w:cs="仿宋_GB2312"/>
          <w:color w:val="000000"/>
          <w:kern w:val="0"/>
          <w:sz w:val="32"/>
          <w:szCs w:val="32"/>
        </w:rPr>
        <w:t>探索建立基于专业大类的差异化生均拨款制度，逐步提高生均拨款水</w:t>
      </w:r>
      <w:r>
        <w:rPr>
          <w:rFonts w:hint="eastAsia" w:ascii="宋体" w:hAnsi="宋体" w:eastAsia="仿宋_GB2312" w:cs="仿宋_GB2312"/>
          <w:color w:val="000000"/>
          <w:kern w:val="0"/>
          <w:sz w:val="32"/>
          <w:szCs w:val="32"/>
          <w:highlight w:val="none"/>
        </w:rPr>
        <w:t>平，改善办学条件；支持</w:t>
      </w:r>
      <w:r>
        <w:rPr>
          <w:rFonts w:hint="eastAsia" w:ascii="宋体" w:hAnsi="宋体" w:eastAsia="仿宋_GB2312" w:cs="仿宋_GB2312"/>
          <w:color w:val="000000"/>
          <w:kern w:val="0"/>
          <w:sz w:val="32"/>
          <w:szCs w:val="32"/>
          <w:highlight w:val="none"/>
          <w:lang w:eastAsia="zh-CN"/>
        </w:rPr>
        <w:t>推进</w:t>
      </w:r>
      <w:r>
        <w:rPr>
          <w:rFonts w:hint="default" w:ascii="宋体" w:hAnsi="宋体" w:eastAsia="仿宋_GB2312" w:cs="仿宋_GB2312"/>
          <w:color w:val="000000"/>
          <w:kern w:val="0"/>
          <w:sz w:val="32"/>
          <w:szCs w:val="32"/>
          <w:highlight w:val="none"/>
          <w:lang w:val="en" w:eastAsia="zh-CN"/>
        </w:rPr>
        <w:t>高等职业</w:t>
      </w:r>
      <w:r>
        <w:rPr>
          <w:rFonts w:hint="eastAsia" w:ascii="宋体" w:hAnsi="宋体" w:eastAsia="仿宋_GB2312" w:cs="仿宋_GB2312"/>
          <w:color w:val="000000"/>
          <w:kern w:val="0"/>
          <w:sz w:val="32"/>
          <w:szCs w:val="32"/>
          <w:highlight w:val="none"/>
          <w:lang w:eastAsia="zh-CN"/>
        </w:rPr>
        <w:t>学校</w:t>
      </w:r>
      <w:r>
        <w:rPr>
          <w:rFonts w:hint="eastAsia" w:ascii="宋体" w:hAnsi="宋体" w:eastAsia="仿宋_GB2312" w:cs="仿宋_GB2312"/>
          <w:color w:val="000000"/>
          <w:kern w:val="0"/>
          <w:sz w:val="32"/>
          <w:szCs w:val="32"/>
          <w:highlight w:val="none"/>
        </w:rPr>
        <w:t>提质培优、产教融合、校企合作</w:t>
      </w:r>
      <w:r>
        <w:rPr>
          <w:rFonts w:hint="eastAsia" w:ascii="宋体" w:hAnsi="宋体" w:eastAsia="仿宋_GB2312" w:cs="仿宋_GB2312"/>
          <w:color w:val="000000"/>
          <w:kern w:val="0"/>
          <w:sz w:val="32"/>
          <w:szCs w:val="32"/>
          <w:highlight w:val="none"/>
          <w:lang w:eastAsia="zh-CN"/>
        </w:rPr>
        <w:t>，推行</w:t>
      </w:r>
      <w:r>
        <w:rPr>
          <w:rFonts w:hint="eastAsia" w:ascii="宋体" w:hAnsi="宋体" w:eastAsia="仿宋_GB2312" w:cs="仿宋_GB2312"/>
          <w:color w:val="000000"/>
          <w:kern w:val="0"/>
          <w:sz w:val="32"/>
          <w:szCs w:val="32"/>
          <w:highlight w:val="none"/>
        </w:rPr>
        <w:t>“学历证书+</w:t>
      </w:r>
      <w:r>
        <w:rPr>
          <w:rFonts w:hint="eastAsia" w:ascii="宋体" w:hAnsi="宋体" w:eastAsia="仿宋_GB2312" w:cs="仿宋_GB2312"/>
          <w:color w:val="000000"/>
          <w:kern w:val="0"/>
          <w:sz w:val="32"/>
          <w:szCs w:val="32"/>
          <w:highlight w:val="none"/>
          <w:lang w:eastAsia="zh-CN"/>
        </w:rPr>
        <w:t>若干</w:t>
      </w:r>
      <w:r>
        <w:rPr>
          <w:rFonts w:hint="eastAsia" w:ascii="宋体" w:hAnsi="宋体" w:eastAsia="仿宋_GB2312" w:cs="仿宋_GB2312"/>
          <w:color w:val="000000"/>
          <w:kern w:val="0"/>
          <w:sz w:val="32"/>
          <w:szCs w:val="32"/>
          <w:highlight w:val="none"/>
        </w:rPr>
        <w:t>职业技能等级证书”制度</w:t>
      </w:r>
      <w:r>
        <w:rPr>
          <w:rFonts w:hint="eastAsia" w:ascii="宋体" w:hAnsi="宋体" w:eastAsia="仿宋_GB2312" w:cs="仿宋_GB2312"/>
          <w:color w:val="000000"/>
          <w:kern w:val="0"/>
          <w:sz w:val="32"/>
          <w:szCs w:val="32"/>
          <w:highlight w:val="none"/>
          <w:lang w:eastAsia="zh-CN"/>
        </w:rPr>
        <w:t>；支持</w:t>
      </w:r>
      <w:r>
        <w:rPr>
          <w:rFonts w:hint="eastAsia" w:ascii="宋体" w:hAnsi="宋体" w:eastAsia="仿宋_GB2312" w:cs="仿宋_GB2312"/>
          <w:color w:val="000000"/>
          <w:kern w:val="0"/>
          <w:sz w:val="32"/>
          <w:szCs w:val="32"/>
          <w:highlight w:val="none"/>
        </w:rPr>
        <w:t>各地开展中国特色高水平高职学校和专业建设等。</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（二）</w:t>
      </w:r>
      <w:r>
        <w:rPr>
          <w:rFonts w:hint="eastAsia" w:ascii="宋体" w:hAnsi="宋体" w:eastAsia="仿宋_GB2312" w:cs="仿宋_GB2312"/>
          <w:color w:val="000000"/>
          <w:kern w:val="0"/>
          <w:sz w:val="32"/>
          <w:szCs w:val="32"/>
          <w:lang w:eastAsia="zh-CN"/>
        </w:rPr>
        <w:t>支持</w:t>
      </w:r>
      <w:r>
        <w:rPr>
          <w:rFonts w:hint="eastAsia" w:ascii="宋体" w:hAnsi="宋体" w:eastAsia="仿宋_GB2312" w:cs="仿宋_GB2312"/>
          <w:color w:val="000000"/>
          <w:kern w:val="0"/>
          <w:sz w:val="32"/>
          <w:szCs w:val="32"/>
        </w:rPr>
        <w:t>各地落实</w:t>
      </w:r>
      <w:r>
        <w:rPr>
          <w:rFonts w:hint="eastAsia" w:ascii="宋体" w:hAnsi="宋体" w:eastAsia="仿宋_GB2312" w:cs="仿宋_GB2312"/>
          <w:color w:val="000000"/>
          <w:kern w:val="0"/>
          <w:sz w:val="32"/>
          <w:szCs w:val="32"/>
          <w:lang w:eastAsia="zh-CN"/>
        </w:rPr>
        <w:t>中等职业</w:t>
      </w:r>
      <w:r>
        <w:rPr>
          <w:rFonts w:hint="eastAsia" w:ascii="宋体" w:hAnsi="宋体" w:eastAsia="仿宋_GB2312" w:cs="仿宋_GB2312"/>
          <w:color w:val="000000"/>
          <w:kern w:val="0"/>
          <w:sz w:val="32"/>
          <w:szCs w:val="32"/>
        </w:rPr>
        <w:t>学校生均拨款制度，并鼓励各地探索建立基于专业大类的差异化生均拨款制度，明确拨款标准并逐步提高生均拨款水平</w:t>
      </w:r>
      <w:r>
        <w:rPr>
          <w:rFonts w:hint="eastAsia" w:ascii="宋体" w:hAnsi="宋体" w:eastAsia="仿宋_GB2312" w:cs="仿宋_GB2312"/>
          <w:color w:val="000000"/>
          <w:kern w:val="0"/>
          <w:sz w:val="32"/>
          <w:szCs w:val="32"/>
          <w:lang w:eastAsia="zh-CN"/>
        </w:rPr>
        <w:t>；</w:t>
      </w:r>
      <w:r>
        <w:rPr>
          <w:rFonts w:hint="eastAsia" w:ascii="宋体" w:hAnsi="宋体" w:eastAsia="仿宋_GB2312" w:cs="仿宋_GB2312"/>
          <w:color w:val="000000"/>
          <w:kern w:val="0"/>
          <w:sz w:val="32"/>
          <w:szCs w:val="32"/>
        </w:rPr>
        <w:t>支持各地在优化布局结构的基础上，改扩建</w:t>
      </w:r>
      <w:r>
        <w:rPr>
          <w:rFonts w:hint="eastAsia" w:ascii="宋体" w:hAnsi="宋体" w:eastAsia="仿宋_GB2312" w:cs="仿宋_GB2312"/>
          <w:color w:val="000000"/>
          <w:kern w:val="0"/>
          <w:sz w:val="32"/>
          <w:szCs w:val="32"/>
          <w:lang w:eastAsia="zh-CN"/>
        </w:rPr>
        <w:t>中等职业</w:t>
      </w:r>
      <w:r>
        <w:rPr>
          <w:rFonts w:hint="eastAsia" w:ascii="宋体" w:hAnsi="宋体" w:eastAsia="仿宋_GB2312" w:cs="仿宋_GB2312"/>
          <w:color w:val="000000"/>
          <w:kern w:val="0"/>
          <w:sz w:val="32"/>
          <w:szCs w:val="32"/>
        </w:rPr>
        <w:t>学校校舍、实验实训场地以及其他附属设施，配置图书和教学仪器设备等；支持推进</w:t>
      </w:r>
      <w:r>
        <w:rPr>
          <w:rFonts w:hint="eastAsia" w:ascii="宋体" w:hAnsi="宋体" w:eastAsia="仿宋_GB2312" w:cs="仿宋_GB2312"/>
          <w:color w:val="000000"/>
          <w:kern w:val="0"/>
          <w:sz w:val="32"/>
          <w:szCs w:val="32"/>
          <w:lang w:eastAsia="zh-CN"/>
        </w:rPr>
        <w:t>中等职业</w:t>
      </w:r>
      <w:r>
        <w:rPr>
          <w:rFonts w:hint="eastAsia" w:ascii="宋体" w:hAnsi="宋体" w:eastAsia="仿宋_GB2312" w:cs="仿宋_GB2312"/>
          <w:color w:val="000000"/>
          <w:kern w:val="0"/>
          <w:sz w:val="32"/>
          <w:szCs w:val="32"/>
        </w:rPr>
        <w:t>学校提质培优、产教融合、校企合作</w:t>
      </w:r>
      <w:r>
        <w:rPr>
          <w:rFonts w:hint="eastAsia" w:ascii="宋体" w:hAnsi="宋体" w:eastAsia="仿宋_GB2312" w:cs="仿宋_GB2312"/>
          <w:color w:val="000000"/>
          <w:kern w:val="0"/>
          <w:sz w:val="32"/>
          <w:szCs w:val="32"/>
          <w:lang w:eastAsia="zh-CN"/>
        </w:rPr>
        <w:t>，推行</w:t>
      </w:r>
      <w:r>
        <w:rPr>
          <w:rFonts w:hint="eastAsia" w:ascii="宋体" w:hAnsi="宋体" w:eastAsia="仿宋_GB2312" w:cs="仿宋_GB2312"/>
          <w:color w:val="000000"/>
          <w:kern w:val="0"/>
          <w:sz w:val="32"/>
          <w:szCs w:val="32"/>
        </w:rPr>
        <w:t>“学历证书+</w:t>
      </w:r>
      <w:r>
        <w:rPr>
          <w:rFonts w:hint="eastAsia" w:ascii="宋体" w:hAnsi="宋体" w:eastAsia="仿宋_GB2312" w:cs="仿宋_GB2312"/>
          <w:color w:val="000000"/>
          <w:kern w:val="0"/>
          <w:sz w:val="32"/>
          <w:szCs w:val="32"/>
          <w:lang w:eastAsia="zh-CN"/>
        </w:rPr>
        <w:t>若干</w:t>
      </w:r>
      <w:r>
        <w:rPr>
          <w:rFonts w:hint="eastAsia" w:ascii="宋体" w:hAnsi="宋体" w:eastAsia="仿宋_GB2312" w:cs="仿宋_GB2312"/>
          <w:color w:val="000000"/>
          <w:kern w:val="0"/>
          <w:sz w:val="32"/>
          <w:szCs w:val="32"/>
        </w:rPr>
        <w:t>职业技能等级证书”制度</w:t>
      </w:r>
      <w:r>
        <w:rPr>
          <w:rFonts w:hint="eastAsia" w:ascii="宋体" w:hAnsi="宋体" w:eastAsia="仿宋_GB2312" w:cs="仿宋_GB2312"/>
          <w:color w:val="000000"/>
          <w:kern w:val="0"/>
          <w:sz w:val="32"/>
          <w:szCs w:val="32"/>
          <w:lang w:eastAsia="zh-CN"/>
        </w:rPr>
        <w:t>等</w:t>
      </w:r>
      <w:r>
        <w:rPr>
          <w:rFonts w:hint="eastAsia" w:ascii="宋体" w:hAnsi="宋体" w:eastAsia="仿宋_GB2312" w:cs="仿宋_GB2312"/>
          <w:color w:val="000000"/>
          <w:kern w:val="0"/>
          <w:sz w:val="32"/>
          <w:szCs w:val="32"/>
        </w:rPr>
        <w:t>。</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（三）支持各地实施职业院校教师素质提高计划，加强“双师型”专任教师和“学历证书+</w:t>
      </w:r>
      <w:r>
        <w:rPr>
          <w:rFonts w:hint="eastAsia" w:ascii="宋体" w:hAnsi="宋体" w:eastAsia="仿宋_GB2312" w:cs="仿宋_GB2312"/>
          <w:color w:val="000000"/>
          <w:kern w:val="0"/>
          <w:sz w:val="32"/>
          <w:szCs w:val="32"/>
          <w:lang w:eastAsia="zh-CN"/>
        </w:rPr>
        <w:t>若干</w:t>
      </w:r>
      <w:r>
        <w:rPr>
          <w:rFonts w:hint="eastAsia" w:ascii="宋体" w:hAnsi="宋体" w:eastAsia="仿宋_GB2312" w:cs="仿宋_GB2312"/>
          <w:color w:val="000000"/>
          <w:kern w:val="0"/>
          <w:sz w:val="32"/>
          <w:szCs w:val="32"/>
        </w:rPr>
        <w:t>职业技能等级证书”制度师资培养培训，提高教师教育教学水平；支持职业院校设立兼职教师岗位，优化教师队伍人员结构</w:t>
      </w:r>
      <w:r>
        <w:rPr>
          <w:rFonts w:hint="eastAsia" w:ascii="宋体" w:hAnsi="宋体" w:eastAsia="仿宋_GB2312" w:cs="仿宋_GB2312"/>
          <w:color w:val="000000"/>
          <w:kern w:val="0"/>
          <w:sz w:val="32"/>
          <w:szCs w:val="32"/>
          <w:lang w:eastAsia="zh-CN"/>
        </w:rPr>
        <w:t>等</w:t>
      </w:r>
      <w:r>
        <w:rPr>
          <w:rFonts w:hint="eastAsia" w:ascii="宋体" w:hAnsi="宋体" w:eastAsia="仿宋_GB2312" w:cs="仿宋_GB2312"/>
          <w:color w:val="000000"/>
          <w:kern w:val="0"/>
          <w:sz w:val="32"/>
          <w:szCs w:val="32"/>
        </w:rPr>
        <w:t>。</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 xml:space="preserve">第五条 </w:t>
      </w:r>
      <w:r>
        <w:rPr>
          <w:rFonts w:hint="eastAsia" w:ascii="宋体" w:hAnsi="宋体" w:eastAsia="仿宋_GB2312" w:cs="仿宋_GB2312"/>
          <w:color w:val="000000"/>
          <w:kern w:val="0"/>
          <w:sz w:val="32"/>
          <w:szCs w:val="32"/>
        </w:rPr>
        <w:t>教育部负责审核地方提出的</w:t>
      </w:r>
      <w:r>
        <w:rPr>
          <w:rFonts w:hint="eastAsia" w:ascii="宋体" w:hAnsi="宋体" w:eastAsia="仿宋_GB2312" w:cs="仿宋_GB2312"/>
          <w:color w:val="000000"/>
          <w:kern w:val="0"/>
          <w:sz w:val="32"/>
          <w:szCs w:val="32"/>
          <w:lang w:eastAsia="zh-CN"/>
        </w:rPr>
        <w:t>本</w:t>
      </w:r>
      <w:r>
        <w:rPr>
          <w:rFonts w:hint="eastAsia" w:ascii="宋体" w:hAnsi="宋体" w:eastAsia="仿宋_GB2312" w:cs="仿宋_GB2312"/>
          <w:color w:val="000000"/>
          <w:kern w:val="0"/>
          <w:sz w:val="32"/>
          <w:szCs w:val="32"/>
        </w:rPr>
        <w:t>区域绩效目标等相关材料和数据，提供资金测算需要的基础数据，并对提供的基础数据的</w:t>
      </w:r>
      <w:r>
        <w:rPr>
          <w:rFonts w:hint="eastAsia" w:ascii="宋体" w:hAnsi="宋体" w:eastAsia="仿宋_GB2312" w:cs="仿宋_GB2312"/>
          <w:color w:val="000000"/>
          <w:kern w:val="0"/>
          <w:sz w:val="32"/>
          <w:szCs w:val="32"/>
          <w:lang w:eastAsia="zh-CN"/>
        </w:rPr>
        <w:t>真实性、</w:t>
      </w:r>
      <w:r>
        <w:rPr>
          <w:rFonts w:hint="eastAsia" w:ascii="宋体" w:hAnsi="宋体" w:eastAsia="仿宋_GB2312" w:cs="仿宋_GB2312"/>
          <w:color w:val="000000"/>
          <w:kern w:val="0"/>
          <w:sz w:val="32"/>
          <w:szCs w:val="32"/>
        </w:rPr>
        <w:t>准确性、及时性负责。财政部根据预算管理相关规定，会同教育部研究确定各省份提升计划资金预算金额，审核提升计划资金的整体绩效目标。</w:t>
      </w:r>
    </w:p>
    <w:p>
      <w:pPr>
        <w:widowControl/>
        <w:spacing w:line="600" w:lineRule="exact"/>
        <w:ind w:firstLine="640"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省级财政、教育部门明确省级及省以下各级财政、教育部门在基础数据审核、资金安排、使用管理、绩效管理等方面的责任，切实加强资金管理。</w:t>
      </w:r>
    </w:p>
    <w:p>
      <w:pPr>
        <w:widowControl/>
        <w:spacing w:line="600" w:lineRule="exact"/>
        <w:ind w:firstLine="640"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地方各级财政、教育部门应当对上报影响资金分配结果的</w:t>
      </w:r>
      <w:r>
        <w:rPr>
          <w:rFonts w:hint="eastAsia" w:ascii="宋体" w:hAnsi="宋体" w:eastAsia="仿宋_GB2312" w:cs="仿宋_GB2312"/>
          <w:color w:val="000000"/>
          <w:kern w:val="0"/>
          <w:sz w:val="32"/>
          <w:szCs w:val="32"/>
          <w:lang w:eastAsia="zh-CN"/>
        </w:rPr>
        <w:t>相</w:t>
      </w:r>
      <w:r>
        <w:rPr>
          <w:rFonts w:hint="eastAsia" w:ascii="宋体" w:hAnsi="宋体" w:eastAsia="仿宋_GB2312" w:cs="仿宋_GB2312"/>
          <w:color w:val="000000"/>
          <w:kern w:val="0"/>
          <w:sz w:val="32"/>
          <w:szCs w:val="32"/>
        </w:rPr>
        <w:t>关数据和信息的真实性、准确性</w:t>
      </w:r>
      <w:r>
        <w:rPr>
          <w:rFonts w:hint="eastAsia" w:ascii="宋体" w:hAnsi="宋体" w:eastAsia="仿宋_GB2312" w:cs="仿宋_GB2312"/>
          <w:color w:val="000000"/>
          <w:kern w:val="0"/>
          <w:sz w:val="32"/>
          <w:szCs w:val="32"/>
          <w:lang w:eastAsia="zh-CN"/>
        </w:rPr>
        <w:t>、及时性</w:t>
      </w:r>
      <w:r>
        <w:rPr>
          <w:rFonts w:hint="eastAsia" w:ascii="宋体" w:hAnsi="宋体" w:eastAsia="仿宋_GB2312" w:cs="仿宋_GB2312"/>
          <w:color w:val="000000"/>
          <w:kern w:val="0"/>
          <w:sz w:val="32"/>
          <w:szCs w:val="32"/>
        </w:rPr>
        <w:t>负责。</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 xml:space="preserve">第六条 </w:t>
      </w:r>
      <w:r>
        <w:rPr>
          <w:rFonts w:hint="eastAsia" w:ascii="宋体" w:hAnsi="宋体" w:eastAsia="仿宋_GB2312" w:cs="仿宋_GB2312"/>
          <w:color w:val="000000"/>
          <w:kern w:val="0"/>
          <w:sz w:val="32"/>
          <w:szCs w:val="32"/>
        </w:rPr>
        <w:t>提升计划资金采取因素法分配，包括</w:t>
      </w:r>
      <w:r>
        <w:rPr>
          <w:rFonts w:hint="default" w:ascii="宋体" w:hAnsi="宋体" w:eastAsia="仿宋_GB2312" w:cs="仿宋_GB2312"/>
          <w:color w:val="000000"/>
          <w:kern w:val="0"/>
          <w:sz w:val="32"/>
          <w:szCs w:val="32"/>
          <w:lang w:val="en"/>
        </w:rPr>
        <w:t>高等职业学校奖补</w:t>
      </w:r>
      <w:r>
        <w:rPr>
          <w:rFonts w:hint="eastAsia" w:ascii="宋体" w:hAnsi="宋体" w:eastAsia="仿宋_GB2312" w:cs="仿宋_GB2312"/>
          <w:color w:val="000000"/>
          <w:kern w:val="0"/>
          <w:sz w:val="32"/>
          <w:szCs w:val="32"/>
        </w:rPr>
        <w:t>、</w:t>
      </w:r>
      <w:r>
        <w:rPr>
          <w:rFonts w:hint="eastAsia" w:ascii="宋体" w:hAnsi="宋体" w:eastAsia="仿宋_GB2312" w:cs="仿宋_GB2312"/>
          <w:color w:val="000000"/>
          <w:kern w:val="0"/>
          <w:sz w:val="32"/>
          <w:szCs w:val="32"/>
          <w:lang w:val="en" w:eastAsia="zh-CN"/>
        </w:rPr>
        <w:t>中等职业</w:t>
      </w:r>
      <w:r>
        <w:rPr>
          <w:rFonts w:hint="default" w:ascii="宋体" w:hAnsi="宋体" w:eastAsia="仿宋_GB2312" w:cs="仿宋_GB2312"/>
          <w:color w:val="000000"/>
          <w:kern w:val="0"/>
          <w:sz w:val="32"/>
          <w:szCs w:val="32"/>
          <w:lang w:val="en"/>
        </w:rPr>
        <w:t>学校奖补</w:t>
      </w:r>
      <w:r>
        <w:rPr>
          <w:rFonts w:hint="eastAsia" w:ascii="宋体" w:hAnsi="宋体" w:eastAsia="仿宋_GB2312" w:cs="仿宋_GB2312"/>
          <w:color w:val="000000"/>
          <w:kern w:val="0"/>
          <w:sz w:val="32"/>
          <w:szCs w:val="32"/>
        </w:rPr>
        <w:t>和职业院校教师素质提高计划奖补共三</w:t>
      </w:r>
      <w:r>
        <w:rPr>
          <w:rFonts w:hint="eastAsia" w:ascii="宋体" w:hAnsi="宋体" w:eastAsia="仿宋_GB2312" w:cs="仿宋_GB2312"/>
          <w:color w:val="000000"/>
          <w:kern w:val="0"/>
          <w:sz w:val="32"/>
          <w:szCs w:val="32"/>
          <w:lang w:eastAsia="zh-CN"/>
        </w:rPr>
        <w:t>部分</w:t>
      </w:r>
      <w:r>
        <w:rPr>
          <w:rFonts w:hint="eastAsia" w:ascii="宋体" w:hAnsi="宋体" w:eastAsia="仿宋_GB2312" w:cs="仿宋_GB2312"/>
          <w:color w:val="000000"/>
          <w:kern w:val="0"/>
          <w:sz w:val="32"/>
          <w:szCs w:val="32"/>
        </w:rPr>
        <w:t>。财政部会同教育部综合考虑各地工作进展</w:t>
      </w:r>
      <w:r>
        <w:rPr>
          <w:rFonts w:hint="eastAsia" w:ascii="宋体" w:hAnsi="宋体" w:eastAsia="仿宋_GB2312" w:cs="仿宋_GB2312"/>
          <w:color w:val="000000"/>
          <w:kern w:val="0"/>
          <w:sz w:val="32"/>
          <w:szCs w:val="32"/>
          <w:lang w:eastAsia="zh-CN"/>
        </w:rPr>
        <w:t>和改革成效</w:t>
      </w:r>
      <w:r>
        <w:rPr>
          <w:rFonts w:hint="eastAsia" w:ascii="宋体" w:hAnsi="宋体" w:eastAsia="仿宋_GB2312" w:cs="仿宋_GB2312"/>
          <w:color w:val="000000"/>
          <w:kern w:val="0"/>
          <w:sz w:val="32"/>
          <w:szCs w:val="32"/>
        </w:rPr>
        <w:t>、绩效评价等情况，研究确定绩效调节系数，对资金分配情况进行适当调节。</w:t>
      </w:r>
    </w:p>
    <w:p>
      <w:pPr>
        <w:widowControl/>
        <w:spacing w:line="600" w:lineRule="exact"/>
        <w:ind w:firstLine="640" w:firstLineChars="200"/>
        <w:rPr>
          <w:rFonts w:ascii="宋体" w:hAnsi="宋体" w:eastAsia="仿宋_GB2312" w:cs="仿宋_GB2312"/>
          <w:color w:val="000000"/>
          <w:kern w:val="0"/>
          <w:sz w:val="32"/>
          <w:szCs w:val="32"/>
          <w:highlight w:val="none"/>
        </w:rPr>
      </w:pPr>
      <w:r>
        <w:rPr>
          <w:rFonts w:hint="eastAsia" w:ascii="宋体" w:hAnsi="宋体" w:eastAsia="仿宋_GB2312" w:cs="仿宋_GB2312"/>
          <w:color w:val="000000"/>
          <w:kern w:val="0"/>
          <w:sz w:val="32"/>
          <w:szCs w:val="32"/>
          <w:highlight w:val="none"/>
        </w:rPr>
        <w:t>提升计划资金具体分配公式为：某省份提升计划资金=（</w:t>
      </w:r>
      <w:r>
        <w:rPr>
          <w:rFonts w:hint="default" w:ascii="宋体" w:hAnsi="宋体" w:eastAsia="仿宋_GB2312" w:cs="仿宋_GB2312"/>
          <w:color w:val="000000"/>
          <w:kern w:val="0"/>
          <w:sz w:val="32"/>
          <w:szCs w:val="32"/>
          <w:highlight w:val="none"/>
          <w:lang w:val="en"/>
        </w:rPr>
        <w:t>高等职业学校奖补</w:t>
      </w:r>
      <w:r>
        <w:rPr>
          <w:rFonts w:hint="eastAsia" w:ascii="宋体" w:hAnsi="宋体" w:eastAsia="仿宋_GB2312" w:cs="仿宋_GB2312"/>
          <w:color w:val="000000"/>
          <w:kern w:val="0"/>
          <w:sz w:val="32"/>
          <w:szCs w:val="32"/>
          <w:highlight w:val="none"/>
        </w:rPr>
        <w:t>+</w:t>
      </w:r>
      <w:r>
        <w:rPr>
          <w:rFonts w:hint="eastAsia" w:ascii="宋体" w:hAnsi="宋体" w:eastAsia="仿宋_GB2312" w:cs="仿宋_GB2312"/>
          <w:color w:val="000000"/>
          <w:kern w:val="0"/>
          <w:sz w:val="32"/>
          <w:szCs w:val="32"/>
          <w:highlight w:val="none"/>
          <w:lang w:val="en" w:eastAsia="zh-CN"/>
        </w:rPr>
        <w:t>中等职业</w:t>
      </w:r>
      <w:r>
        <w:rPr>
          <w:rFonts w:hint="default" w:ascii="宋体" w:hAnsi="宋体" w:eastAsia="仿宋_GB2312" w:cs="仿宋_GB2312"/>
          <w:color w:val="000000"/>
          <w:kern w:val="0"/>
          <w:sz w:val="32"/>
          <w:szCs w:val="32"/>
          <w:highlight w:val="none"/>
          <w:lang w:val="en"/>
        </w:rPr>
        <w:t>学校奖补</w:t>
      </w:r>
      <w:r>
        <w:rPr>
          <w:rFonts w:hint="eastAsia" w:ascii="宋体" w:hAnsi="宋体" w:eastAsia="仿宋_GB2312" w:cs="仿宋_GB2312"/>
          <w:color w:val="000000"/>
          <w:kern w:val="0"/>
          <w:sz w:val="32"/>
          <w:szCs w:val="32"/>
          <w:highlight w:val="none"/>
        </w:rPr>
        <w:t>+职业院校教师素质提高计划奖补）×绩效调节系数</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 xml:space="preserve">第七条 </w:t>
      </w:r>
      <w:r>
        <w:rPr>
          <w:rFonts w:hint="default" w:ascii="宋体" w:hAnsi="宋体" w:eastAsia="仿宋_GB2312" w:cs="仿宋_GB2312"/>
          <w:color w:val="000000"/>
          <w:kern w:val="0"/>
          <w:sz w:val="32"/>
          <w:szCs w:val="32"/>
          <w:lang w:val="en"/>
        </w:rPr>
        <w:t>高等职业学校奖补</w:t>
      </w:r>
      <w:r>
        <w:rPr>
          <w:rFonts w:hint="eastAsia" w:ascii="宋体" w:hAnsi="宋体" w:eastAsia="仿宋_GB2312" w:cs="仿宋_GB2312"/>
          <w:color w:val="000000"/>
          <w:kern w:val="0"/>
          <w:sz w:val="32"/>
          <w:szCs w:val="32"/>
        </w:rPr>
        <w:t>资金包括拨款标准奖补和改革绩效奖补两部分。</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对各省份以2021年为基期继续给予拨款标准奖补，并从2022年起逐步降低拨款标准奖补规模，用于进一步加大改革绩效奖补力度。改革绩效奖补分配因素包括基础因素和管理创新因素。其中：基础因素（权重</w:t>
      </w:r>
      <w:r>
        <w:rPr>
          <w:rFonts w:ascii="宋体" w:hAnsi="宋体" w:eastAsia="仿宋_GB2312" w:cs="Times New Roman"/>
          <w:color w:val="000000"/>
          <w:kern w:val="0"/>
          <w:sz w:val="32"/>
          <w:szCs w:val="32"/>
        </w:rPr>
        <w:t>80</w:t>
      </w:r>
      <w:r>
        <w:rPr>
          <w:rFonts w:hint="eastAsia" w:ascii="宋体" w:hAnsi="宋体" w:eastAsia="仿宋_GB2312" w:cs="仿宋_GB2312"/>
          <w:color w:val="000000"/>
          <w:kern w:val="0"/>
          <w:sz w:val="32"/>
          <w:szCs w:val="32"/>
        </w:rPr>
        <w:t>%）主要考虑</w:t>
      </w:r>
      <w:r>
        <w:rPr>
          <w:rFonts w:hint="eastAsia" w:ascii="宋体" w:hAnsi="宋体" w:eastAsia="仿宋_GB2312" w:cs="仿宋_GB2312"/>
          <w:color w:val="000000"/>
          <w:kern w:val="0"/>
          <w:sz w:val="32"/>
          <w:szCs w:val="32"/>
          <w:lang w:eastAsia="zh-CN"/>
        </w:rPr>
        <w:t>学生数等</w:t>
      </w:r>
      <w:r>
        <w:rPr>
          <w:rFonts w:hint="default" w:ascii="宋体" w:hAnsi="宋体" w:eastAsia="仿宋_GB2312" w:cs="仿宋_GB2312"/>
          <w:color w:val="000000"/>
          <w:kern w:val="0"/>
          <w:sz w:val="32"/>
          <w:szCs w:val="32"/>
          <w:lang w:val="en"/>
        </w:rPr>
        <w:t>高等职业</w:t>
      </w:r>
      <w:r>
        <w:rPr>
          <w:rFonts w:hint="eastAsia" w:ascii="宋体" w:hAnsi="宋体" w:eastAsia="仿宋_GB2312" w:cs="仿宋_GB2312"/>
          <w:color w:val="000000"/>
          <w:kern w:val="0"/>
          <w:sz w:val="32"/>
          <w:szCs w:val="32"/>
        </w:rPr>
        <w:t>教育事业发展情况、</w:t>
      </w:r>
      <w:r>
        <w:rPr>
          <w:rFonts w:hint="eastAsia" w:ascii="宋体" w:hAnsi="宋体" w:eastAsia="仿宋_GB2312" w:cs="仿宋_GB2312"/>
          <w:color w:val="000000"/>
          <w:kern w:val="0"/>
          <w:sz w:val="32"/>
          <w:szCs w:val="32"/>
          <w:lang w:eastAsia="zh-CN"/>
        </w:rPr>
        <w:t>生均拨款水平等</w:t>
      </w:r>
      <w:r>
        <w:rPr>
          <w:rFonts w:hint="eastAsia" w:ascii="宋体" w:hAnsi="宋体" w:eastAsia="仿宋_GB2312" w:cs="仿宋_GB2312"/>
          <w:color w:val="000000"/>
          <w:kern w:val="0"/>
          <w:sz w:val="32"/>
          <w:szCs w:val="32"/>
        </w:rPr>
        <w:t>地方投入情况、巩固</w:t>
      </w:r>
      <w:r>
        <w:rPr>
          <w:rFonts w:hint="eastAsia" w:ascii="宋体" w:hAnsi="宋体" w:eastAsia="仿宋_GB2312" w:cs="仿宋_GB2312"/>
          <w:color w:val="000000"/>
          <w:kern w:val="0"/>
          <w:sz w:val="32"/>
          <w:szCs w:val="32"/>
          <w:lang w:eastAsia="zh-CN"/>
        </w:rPr>
        <w:t>拓展</w:t>
      </w:r>
      <w:r>
        <w:rPr>
          <w:rFonts w:hint="eastAsia" w:ascii="宋体" w:hAnsi="宋体" w:eastAsia="仿宋_GB2312" w:cs="仿宋_GB2312"/>
          <w:color w:val="000000"/>
          <w:kern w:val="0"/>
          <w:sz w:val="32"/>
          <w:szCs w:val="32"/>
        </w:rPr>
        <w:t>脱贫攻坚成果</w:t>
      </w:r>
      <w:r>
        <w:rPr>
          <w:rFonts w:hint="eastAsia" w:ascii="宋体" w:hAnsi="宋体" w:eastAsia="仿宋_GB2312" w:cs="仿宋_GB2312"/>
          <w:color w:val="000000"/>
          <w:kern w:val="0"/>
          <w:sz w:val="32"/>
          <w:szCs w:val="32"/>
          <w:lang w:eastAsia="zh-CN"/>
        </w:rPr>
        <w:t>同</w:t>
      </w:r>
      <w:r>
        <w:rPr>
          <w:rFonts w:hint="eastAsia" w:ascii="宋体" w:hAnsi="宋体" w:eastAsia="仿宋_GB2312" w:cs="仿宋_GB2312"/>
          <w:color w:val="000000"/>
          <w:kern w:val="0"/>
          <w:sz w:val="32"/>
          <w:szCs w:val="32"/>
        </w:rPr>
        <w:t>乡村振兴</w:t>
      </w:r>
      <w:r>
        <w:rPr>
          <w:rFonts w:hint="eastAsia" w:ascii="宋体" w:hAnsi="宋体" w:eastAsia="仿宋_GB2312" w:cs="仿宋_GB2312"/>
          <w:color w:val="000000"/>
          <w:kern w:val="0"/>
          <w:sz w:val="32"/>
          <w:szCs w:val="32"/>
          <w:lang w:eastAsia="zh-CN"/>
        </w:rPr>
        <w:t>有效</w:t>
      </w:r>
      <w:r>
        <w:rPr>
          <w:rFonts w:hint="eastAsia" w:ascii="宋体" w:hAnsi="宋体" w:eastAsia="仿宋_GB2312" w:cs="仿宋_GB2312"/>
          <w:color w:val="000000"/>
          <w:kern w:val="0"/>
          <w:sz w:val="32"/>
          <w:szCs w:val="32"/>
        </w:rPr>
        <w:t>衔接</w:t>
      </w:r>
      <w:r>
        <w:rPr>
          <w:rFonts w:hint="eastAsia" w:ascii="宋体" w:hAnsi="宋体" w:eastAsia="仿宋_GB2312" w:cs="仿宋_GB2312"/>
          <w:color w:val="000000"/>
          <w:kern w:val="0"/>
          <w:sz w:val="32"/>
          <w:szCs w:val="32"/>
          <w:lang w:eastAsia="zh-CN"/>
        </w:rPr>
        <w:t>情况</w:t>
      </w:r>
      <w:r>
        <w:rPr>
          <w:rFonts w:hint="eastAsia" w:ascii="宋体" w:hAnsi="宋体" w:eastAsia="仿宋_GB2312" w:cs="仿宋_GB2312"/>
          <w:color w:val="000000"/>
          <w:kern w:val="0"/>
          <w:sz w:val="32"/>
          <w:szCs w:val="32"/>
        </w:rPr>
        <w:t>等子因素。管理创新因素（权重</w:t>
      </w:r>
      <w:r>
        <w:rPr>
          <w:rFonts w:ascii="宋体" w:hAnsi="宋体" w:eastAsia="仿宋_GB2312" w:cs="Times New Roman"/>
          <w:color w:val="000000"/>
          <w:kern w:val="0"/>
          <w:sz w:val="32"/>
          <w:szCs w:val="32"/>
        </w:rPr>
        <w:t>20</w:t>
      </w:r>
      <w:r>
        <w:rPr>
          <w:rFonts w:hint="eastAsia" w:ascii="宋体" w:hAnsi="宋体" w:eastAsia="仿宋_GB2312" w:cs="仿宋_GB2312"/>
          <w:color w:val="000000"/>
          <w:kern w:val="0"/>
          <w:sz w:val="32"/>
          <w:szCs w:val="32"/>
        </w:rPr>
        <w:t>%）主要考虑落实党中央、国务院</w:t>
      </w:r>
      <w:r>
        <w:rPr>
          <w:rFonts w:hint="eastAsia" w:ascii="宋体" w:hAnsi="宋体" w:eastAsia="仿宋_GB2312" w:cs="仿宋_GB2312"/>
          <w:color w:val="000000"/>
          <w:kern w:val="0"/>
          <w:sz w:val="32"/>
          <w:szCs w:val="32"/>
          <w:lang w:eastAsia="zh-CN"/>
        </w:rPr>
        <w:t>要求推动</w:t>
      </w:r>
      <w:r>
        <w:rPr>
          <w:rFonts w:hint="default" w:ascii="宋体" w:hAnsi="宋体" w:eastAsia="仿宋_GB2312" w:cs="仿宋_GB2312"/>
          <w:color w:val="000000"/>
          <w:kern w:val="0"/>
          <w:sz w:val="32"/>
          <w:szCs w:val="32"/>
          <w:lang w:val="en" w:eastAsia="zh-CN"/>
        </w:rPr>
        <w:t>高等职业</w:t>
      </w:r>
      <w:r>
        <w:rPr>
          <w:rFonts w:hint="eastAsia" w:ascii="宋体" w:hAnsi="宋体" w:eastAsia="仿宋_GB2312" w:cs="仿宋_GB2312"/>
          <w:color w:val="000000"/>
          <w:kern w:val="0"/>
          <w:sz w:val="32"/>
          <w:szCs w:val="32"/>
          <w:lang w:eastAsia="zh-CN"/>
        </w:rPr>
        <w:t>教育改革创新</w:t>
      </w:r>
      <w:r>
        <w:rPr>
          <w:rFonts w:hint="eastAsia" w:ascii="宋体" w:hAnsi="宋体" w:eastAsia="仿宋_GB2312" w:cs="仿宋_GB2312"/>
          <w:color w:val="000000"/>
          <w:kern w:val="0"/>
          <w:sz w:val="32"/>
          <w:szCs w:val="32"/>
        </w:rPr>
        <w:t>等子因素。</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某省份</w:t>
      </w:r>
      <w:r>
        <w:rPr>
          <w:rFonts w:hint="default" w:ascii="宋体" w:hAnsi="宋体" w:eastAsia="仿宋_GB2312" w:cs="仿宋_GB2312"/>
          <w:color w:val="000000"/>
          <w:kern w:val="0"/>
          <w:sz w:val="32"/>
          <w:szCs w:val="32"/>
          <w:lang w:val="en"/>
        </w:rPr>
        <w:t>高等职业学校奖补</w:t>
      </w:r>
      <w:r>
        <w:rPr>
          <w:rFonts w:hint="eastAsia" w:ascii="宋体" w:hAnsi="宋体" w:eastAsia="仿宋_GB2312" w:cs="仿宋_GB2312"/>
          <w:color w:val="000000"/>
          <w:kern w:val="0"/>
          <w:sz w:val="32"/>
          <w:szCs w:val="32"/>
        </w:rPr>
        <w:t>=该省份拨款标准奖补+（该省份改革绩效奖补基础因素/∑有关省份改革绩效奖补基础因素×权重+该省份改革绩效奖补管理创新因素/∑有关省份改革绩效奖补管理创新因素×权重）×改革绩效奖补年度资金预算</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 xml:space="preserve">第八条 </w:t>
      </w:r>
      <w:r>
        <w:rPr>
          <w:rFonts w:hint="eastAsia" w:ascii="宋体" w:hAnsi="宋体" w:eastAsia="仿宋_GB2312" w:cs="仿宋_GB2312"/>
          <w:color w:val="000000"/>
          <w:kern w:val="0"/>
          <w:sz w:val="32"/>
          <w:szCs w:val="32"/>
          <w:lang w:val="en" w:eastAsia="zh-CN"/>
        </w:rPr>
        <w:t>中等职业</w:t>
      </w:r>
      <w:r>
        <w:rPr>
          <w:rFonts w:hint="default" w:ascii="宋体" w:hAnsi="宋体" w:eastAsia="仿宋_GB2312" w:cs="仿宋_GB2312"/>
          <w:color w:val="000000"/>
          <w:kern w:val="0"/>
          <w:sz w:val="32"/>
          <w:szCs w:val="32"/>
          <w:lang w:val="en"/>
        </w:rPr>
        <w:t>学校奖补</w:t>
      </w:r>
      <w:r>
        <w:rPr>
          <w:rFonts w:hint="eastAsia" w:ascii="宋体" w:hAnsi="宋体" w:eastAsia="仿宋_GB2312" w:cs="仿宋_GB2312"/>
          <w:color w:val="000000"/>
          <w:kern w:val="0"/>
          <w:sz w:val="32"/>
          <w:szCs w:val="32"/>
        </w:rPr>
        <w:t>资金分配因素包括：区域因素、基础因素和管理创新因素。</w:t>
      </w:r>
      <w:r>
        <w:rPr>
          <w:rFonts w:hint="eastAsia" w:ascii="宋体" w:hAnsi="宋体" w:eastAsia="仿宋_GB2312" w:cs="仿宋_GB2312"/>
          <w:color w:val="000000"/>
          <w:kern w:val="0"/>
          <w:sz w:val="32"/>
          <w:szCs w:val="32"/>
          <w:lang w:eastAsia="zh-CN"/>
        </w:rPr>
        <w:t>奖补资金规模按中等职业教育区域发展水平等情况确定区域因素权重后，</w:t>
      </w:r>
      <w:r>
        <w:rPr>
          <w:rFonts w:hint="eastAsia" w:ascii="宋体" w:hAnsi="宋体" w:eastAsia="仿宋_GB2312" w:cs="仿宋_GB2312"/>
          <w:color w:val="000000"/>
          <w:kern w:val="0"/>
          <w:sz w:val="32"/>
          <w:szCs w:val="32"/>
        </w:rPr>
        <w:t>再按其他因素分配到相关省份。其中：基础因素（权重</w:t>
      </w:r>
      <w:r>
        <w:rPr>
          <w:rFonts w:ascii="宋体" w:hAnsi="宋体" w:eastAsia="仿宋_GB2312" w:cs="Times New Roman"/>
          <w:color w:val="000000"/>
          <w:kern w:val="0"/>
          <w:sz w:val="32"/>
          <w:szCs w:val="32"/>
        </w:rPr>
        <w:t>80</w:t>
      </w:r>
      <w:r>
        <w:rPr>
          <w:rFonts w:hint="eastAsia" w:ascii="宋体" w:hAnsi="宋体" w:eastAsia="仿宋_GB2312" w:cs="仿宋_GB2312"/>
          <w:color w:val="000000"/>
          <w:kern w:val="0"/>
          <w:sz w:val="32"/>
          <w:szCs w:val="32"/>
        </w:rPr>
        <w:t>%）主要考虑学生数等</w:t>
      </w:r>
      <w:r>
        <w:rPr>
          <w:rFonts w:hint="eastAsia" w:ascii="宋体" w:hAnsi="宋体" w:eastAsia="仿宋_GB2312" w:cs="仿宋_GB2312"/>
          <w:color w:val="000000"/>
          <w:kern w:val="0"/>
          <w:sz w:val="32"/>
          <w:szCs w:val="32"/>
          <w:lang w:eastAsia="zh-CN"/>
        </w:rPr>
        <w:t>中等职业</w:t>
      </w:r>
      <w:r>
        <w:rPr>
          <w:rFonts w:hint="eastAsia" w:ascii="宋体" w:hAnsi="宋体" w:eastAsia="仿宋_GB2312" w:cs="仿宋_GB2312"/>
          <w:color w:val="000000"/>
          <w:kern w:val="0"/>
          <w:sz w:val="32"/>
          <w:szCs w:val="32"/>
        </w:rPr>
        <w:t>教育事业发展情况、生均拨款水平等地方投入情况、巩固拓展脱贫攻坚成果同乡村振兴有效衔接情况等子因素。管理创新因素（权重</w:t>
      </w:r>
      <w:r>
        <w:rPr>
          <w:rFonts w:ascii="宋体" w:hAnsi="宋体" w:eastAsia="仿宋_GB2312" w:cs="Times New Roman"/>
          <w:color w:val="000000"/>
          <w:kern w:val="0"/>
          <w:sz w:val="32"/>
          <w:szCs w:val="32"/>
        </w:rPr>
        <w:t>20</w:t>
      </w:r>
      <w:r>
        <w:rPr>
          <w:rFonts w:hint="eastAsia" w:ascii="宋体" w:hAnsi="宋体" w:eastAsia="仿宋_GB2312" w:cs="仿宋_GB2312"/>
          <w:color w:val="000000"/>
          <w:kern w:val="0"/>
          <w:sz w:val="32"/>
          <w:szCs w:val="32"/>
        </w:rPr>
        <w:t>%）主要考虑落实党中央、国务院要求推动</w:t>
      </w:r>
      <w:r>
        <w:rPr>
          <w:rFonts w:hint="eastAsia" w:ascii="宋体" w:hAnsi="宋体" w:eastAsia="仿宋_GB2312" w:cs="仿宋_GB2312"/>
          <w:color w:val="000000"/>
          <w:kern w:val="0"/>
          <w:sz w:val="32"/>
          <w:szCs w:val="32"/>
          <w:lang w:eastAsia="zh-CN"/>
        </w:rPr>
        <w:t>中等职业</w:t>
      </w:r>
      <w:r>
        <w:rPr>
          <w:rFonts w:hint="eastAsia" w:ascii="宋体" w:hAnsi="宋体" w:eastAsia="仿宋_GB2312" w:cs="仿宋_GB2312"/>
          <w:color w:val="000000"/>
          <w:kern w:val="0"/>
          <w:sz w:val="32"/>
          <w:szCs w:val="32"/>
        </w:rPr>
        <w:t>教育改革创新等子因素。</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某省份</w:t>
      </w:r>
      <w:r>
        <w:rPr>
          <w:rFonts w:hint="eastAsia" w:ascii="宋体" w:hAnsi="宋体" w:eastAsia="仿宋_GB2312" w:cs="仿宋_GB2312"/>
          <w:color w:val="000000"/>
          <w:kern w:val="0"/>
          <w:sz w:val="32"/>
          <w:szCs w:val="32"/>
          <w:lang w:val="en" w:eastAsia="zh-CN"/>
        </w:rPr>
        <w:t>中等职业</w:t>
      </w:r>
      <w:r>
        <w:rPr>
          <w:rFonts w:hint="default" w:ascii="宋体" w:hAnsi="宋体" w:eastAsia="仿宋_GB2312" w:cs="仿宋_GB2312"/>
          <w:color w:val="000000"/>
          <w:kern w:val="0"/>
          <w:sz w:val="32"/>
          <w:szCs w:val="32"/>
          <w:lang w:val="en"/>
        </w:rPr>
        <w:t>学校奖补</w:t>
      </w:r>
      <w:r>
        <w:rPr>
          <w:rFonts w:hint="eastAsia" w:ascii="宋体" w:hAnsi="宋体" w:eastAsia="仿宋_GB2312" w:cs="仿宋_GB2312"/>
          <w:color w:val="000000"/>
          <w:kern w:val="0"/>
          <w:sz w:val="32"/>
          <w:szCs w:val="32"/>
        </w:rPr>
        <w:t>=（该省份基础因素/∑该省份所在区域基础因素×权重+该省份管理创新因素/∑该省份所在区域管理创新因素×权重）×中等职业学校奖补年度资金预算×该省份所在区域因素权重</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 xml:space="preserve">第九条 </w:t>
      </w:r>
      <w:r>
        <w:rPr>
          <w:rFonts w:hint="eastAsia" w:ascii="宋体" w:hAnsi="宋体" w:eastAsia="仿宋_GB2312" w:cs="仿宋_GB2312"/>
          <w:color w:val="000000"/>
          <w:kern w:val="0"/>
          <w:sz w:val="32"/>
          <w:szCs w:val="32"/>
        </w:rPr>
        <w:t>职业院校教师素质提高计划奖补资金分配因素包括基础因素和投入因素。其中：基础因素（权重</w:t>
      </w:r>
      <w:r>
        <w:rPr>
          <w:rFonts w:ascii="宋体" w:hAnsi="宋体" w:eastAsia="仿宋_GB2312" w:cs="Times New Roman"/>
          <w:color w:val="000000"/>
          <w:kern w:val="0"/>
          <w:sz w:val="32"/>
          <w:szCs w:val="32"/>
        </w:rPr>
        <w:t>80</w:t>
      </w:r>
      <w:r>
        <w:rPr>
          <w:rFonts w:hint="eastAsia" w:ascii="宋体" w:hAnsi="宋体" w:eastAsia="仿宋_GB2312" w:cs="仿宋_GB2312"/>
          <w:color w:val="000000"/>
          <w:kern w:val="0"/>
          <w:sz w:val="32"/>
          <w:szCs w:val="32"/>
        </w:rPr>
        <w:t>%）主要考虑职业院校教师队伍建设情况</w:t>
      </w:r>
      <w:r>
        <w:rPr>
          <w:rFonts w:hint="eastAsia" w:ascii="宋体" w:hAnsi="宋体" w:eastAsia="仿宋_GB2312" w:cs="仿宋_GB2312"/>
          <w:color w:val="000000"/>
          <w:kern w:val="0"/>
          <w:sz w:val="32"/>
          <w:szCs w:val="32"/>
          <w:lang w:eastAsia="zh-CN"/>
        </w:rPr>
        <w:t>等子因素</w:t>
      </w:r>
      <w:r>
        <w:rPr>
          <w:rFonts w:hint="eastAsia" w:ascii="宋体" w:hAnsi="宋体" w:eastAsia="仿宋_GB2312" w:cs="仿宋_GB2312"/>
          <w:color w:val="000000"/>
          <w:kern w:val="0"/>
          <w:sz w:val="32"/>
          <w:szCs w:val="32"/>
        </w:rPr>
        <w:t>。投入因素（权重</w:t>
      </w:r>
      <w:r>
        <w:rPr>
          <w:rFonts w:ascii="宋体" w:hAnsi="宋体" w:eastAsia="仿宋_GB2312" w:cs="Times New Roman"/>
          <w:color w:val="000000"/>
          <w:kern w:val="0"/>
          <w:sz w:val="32"/>
          <w:szCs w:val="32"/>
        </w:rPr>
        <w:t>20</w:t>
      </w:r>
      <w:r>
        <w:rPr>
          <w:rFonts w:hint="eastAsia" w:ascii="宋体" w:hAnsi="宋体" w:eastAsia="仿宋_GB2312" w:cs="仿宋_GB2312"/>
          <w:color w:val="000000"/>
          <w:kern w:val="0"/>
          <w:sz w:val="32"/>
          <w:szCs w:val="32"/>
        </w:rPr>
        <w:t>%）主要考虑地方努力程度等</w:t>
      </w:r>
      <w:r>
        <w:rPr>
          <w:rFonts w:hint="eastAsia" w:ascii="宋体" w:hAnsi="宋体" w:eastAsia="仿宋_GB2312" w:cs="仿宋_GB2312"/>
          <w:color w:val="000000"/>
          <w:kern w:val="0"/>
          <w:sz w:val="32"/>
          <w:szCs w:val="32"/>
          <w:lang w:eastAsia="zh-CN"/>
        </w:rPr>
        <w:t>子</w:t>
      </w:r>
      <w:r>
        <w:rPr>
          <w:rFonts w:hint="eastAsia" w:ascii="宋体" w:hAnsi="宋体" w:eastAsia="仿宋_GB2312" w:cs="仿宋_GB2312"/>
          <w:color w:val="000000"/>
          <w:kern w:val="0"/>
          <w:sz w:val="32"/>
          <w:szCs w:val="32"/>
        </w:rPr>
        <w:t>因素。</w:t>
      </w:r>
    </w:p>
    <w:p>
      <w:pPr>
        <w:widowControl/>
        <w:spacing w:line="600" w:lineRule="exact"/>
        <w:ind w:firstLine="640" w:firstLineChars="200"/>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某省份职业院校教师素质提高计划奖补=（该省份基础因素/∑各省份基础因素×权重+该省份投入因素/∑各省份投入因素×权重）×职业院校教师素质提高计划奖补年度资金预算</w:t>
      </w:r>
    </w:p>
    <w:p>
      <w:pPr>
        <w:widowControl/>
        <w:spacing w:line="600" w:lineRule="exact"/>
        <w:ind w:firstLine="640" w:firstLineChars="200"/>
        <w:rPr>
          <w:rFonts w:hint="eastAsia" w:ascii="宋体" w:hAnsi="宋体" w:eastAsia="仿宋_GB2312" w:cs="仿宋_GB2312"/>
          <w:color w:val="000000"/>
          <w:kern w:val="0"/>
          <w:sz w:val="32"/>
          <w:szCs w:val="32"/>
        </w:rPr>
      </w:pPr>
      <w:r>
        <w:rPr>
          <w:rFonts w:hint="eastAsia" w:ascii="宋体" w:hAnsi="宋体" w:eastAsia="黑体" w:cs="黑体"/>
          <w:color w:val="000000"/>
          <w:kern w:val="0"/>
          <w:sz w:val="32"/>
          <w:szCs w:val="32"/>
          <w:lang w:eastAsia="zh-CN"/>
        </w:rPr>
        <w:t>第十条</w:t>
      </w:r>
      <w:r>
        <w:rPr>
          <w:rFonts w:hint="eastAsia" w:ascii="宋体" w:hAnsi="宋体" w:eastAsia="仿宋_GB2312" w:cs="仿宋_GB2312"/>
          <w:color w:val="000000"/>
          <w:kern w:val="0"/>
          <w:sz w:val="32"/>
          <w:szCs w:val="32"/>
          <w:lang w:val="en-US" w:eastAsia="zh-CN"/>
        </w:rPr>
        <w:t xml:space="preserve"> </w:t>
      </w:r>
      <w:r>
        <w:rPr>
          <w:rFonts w:hint="eastAsia" w:ascii="宋体" w:hAnsi="宋体" w:eastAsia="仿宋_GB2312" w:cs="仿宋_GB2312"/>
          <w:color w:val="000000"/>
          <w:kern w:val="0"/>
          <w:sz w:val="32"/>
          <w:szCs w:val="32"/>
        </w:rPr>
        <w:t>对</w:t>
      </w:r>
      <w:r>
        <w:rPr>
          <w:rFonts w:hint="eastAsia" w:ascii="宋体" w:hAnsi="宋体" w:eastAsia="仿宋_GB2312" w:cs="仿宋_GB2312"/>
          <w:color w:val="000000"/>
          <w:kern w:val="0"/>
          <w:sz w:val="32"/>
          <w:szCs w:val="32"/>
          <w:lang w:eastAsia="zh-CN"/>
        </w:rPr>
        <w:t>预算管理体制特殊</w:t>
      </w:r>
      <w:r>
        <w:rPr>
          <w:rFonts w:hint="eastAsia" w:ascii="宋体" w:hAnsi="宋体" w:eastAsia="仿宋_GB2312" w:cs="仿宋_GB2312"/>
          <w:color w:val="000000"/>
          <w:kern w:val="0"/>
          <w:sz w:val="32"/>
          <w:szCs w:val="32"/>
        </w:rPr>
        <w:t>的地方，提升计划资金预算数由财政部会同教育部根据财力可能</w:t>
      </w:r>
      <w:r>
        <w:rPr>
          <w:rFonts w:hint="eastAsia" w:ascii="宋体" w:hAnsi="宋体" w:eastAsia="仿宋_GB2312" w:cs="仿宋_GB2312"/>
          <w:color w:val="000000"/>
          <w:kern w:val="0"/>
          <w:sz w:val="32"/>
          <w:szCs w:val="32"/>
          <w:lang w:eastAsia="zh-CN"/>
        </w:rPr>
        <w:t>，</w:t>
      </w:r>
      <w:r>
        <w:rPr>
          <w:rFonts w:hint="eastAsia" w:ascii="宋体" w:hAnsi="宋体" w:eastAsia="仿宋_GB2312" w:cs="仿宋_GB2312"/>
          <w:color w:val="000000"/>
          <w:kern w:val="0"/>
          <w:sz w:val="32"/>
          <w:szCs w:val="32"/>
        </w:rPr>
        <w:t>统筹考虑职业院校学校数、教师数等客观数据和职业教育发展需要等因素综合核定。</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第十</w:t>
      </w:r>
      <w:r>
        <w:rPr>
          <w:rFonts w:hint="eastAsia" w:ascii="宋体" w:hAnsi="宋体" w:eastAsia="黑体" w:cs="Times New Roman"/>
          <w:sz w:val="32"/>
          <w:szCs w:val="32"/>
          <w:lang w:eastAsia="zh-CN"/>
        </w:rPr>
        <w:t>一</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各因素主要通过相关统计</w:t>
      </w:r>
      <w:r>
        <w:rPr>
          <w:rFonts w:hint="eastAsia" w:ascii="宋体" w:hAnsi="宋体" w:eastAsia="仿宋_GB2312" w:cs="仿宋_GB2312"/>
          <w:color w:val="000000"/>
          <w:kern w:val="0"/>
          <w:sz w:val="32"/>
          <w:szCs w:val="32"/>
          <w:lang w:eastAsia="zh-CN"/>
        </w:rPr>
        <w:t>数据、</w:t>
      </w:r>
      <w:r>
        <w:rPr>
          <w:rFonts w:hint="eastAsia" w:ascii="宋体" w:hAnsi="宋体" w:eastAsia="仿宋_GB2312" w:cs="仿宋_GB2312"/>
          <w:color w:val="000000"/>
          <w:kern w:val="0"/>
          <w:sz w:val="32"/>
          <w:szCs w:val="32"/>
        </w:rPr>
        <w:t>资料等获得。落实党中央、国务院要求推动职业教育改革创新等子因素，由财政部、教育部确定。</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第十</w:t>
      </w:r>
      <w:r>
        <w:rPr>
          <w:rFonts w:hint="eastAsia" w:ascii="宋体" w:hAnsi="宋体" w:eastAsia="黑体" w:cs="Times New Roman"/>
          <w:sz w:val="32"/>
          <w:szCs w:val="32"/>
          <w:lang w:eastAsia="zh-CN"/>
        </w:rPr>
        <w:t>二</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省级财政、教育部门应当于每年</w:t>
      </w:r>
      <w:r>
        <w:rPr>
          <w:rFonts w:ascii="宋体" w:hAnsi="宋体" w:eastAsia="仿宋_GB2312" w:cs="Times New Roman"/>
          <w:color w:val="000000"/>
          <w:kern w:val="0"/>
          <w:sz w:val="32"/>
          <w:szCs w:val="32"/>
        </w:rPr>
        <w:t>2</w:t>
      </w:r>
      <w:r>
        <w:rPr>
          <w:rFonts w:hint="eastAsia" w:ascii="宋体" w:hAnsi="宋体" w:eastAsia="仿宋_GB2312" w:cs="仿宋_GB2312"/>
          <w:color w:val="000000"/>
          <w:kern w:val="0"/>
          <w:sz w:val="32"/>
          <w:szCs w:val="32"/>
        </w:rPr>
        <w:t>月底前向财政部、教育部报送当年提升计划资金申报材料，并抄送财政部当地监管局。逾期不提交的，相应扣减相关分配因素得分。申报材料主要包括：</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（一）上年度工作总结，主要包括上年度提升计划资金使用情况、年度绩效目标完成情况、地方财政投入情况、主要管理措施、</w:t>
      </w:r>
      <w:r>
        <w:rPr>
          <w:rFonts w:hint="eastAsia" w:ascii="宋体" w:hAnsi="宋体" w:eastAsia="仿宋_GB2312" w:cs="仿宋_GB2312"/>
          <w:color w:val="000000"/>
          <w:kern w:val="0"/>
          <w:sz w:val="32"/>
          <w:szCs w:val="32"/>
          <w:lang w:eastAsia="zh-CN"/>
        </w:rPr>
        <w:t>落实党中央国务院要求推动职业教育改革创新情况、</w:t>
      </w:r>
      <w:r>
        <w:rPr>
          <w:rFonts w:hint="eastAsia" w:ascii="宋体" w:hAnsi="宋体" w:eastAsia="仿宋_GB2312" w:cs="仿宋_GB2312"/>
          <w:color w:val="000000"/>
          <w:kern w:val="0"/>
          <w:sz w:val="32"/>
          <w:szCs w:val="32"/>
        </w:rPr>
        <w:t>问题分析及对策。</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rPr>
        <w:t>（二）当年工作计划，主要包括当年职业教育工作目标、提升计划资金区域绩效目标表、重点任务</w:t>
      </w:r>
      <w:r>
        <w:rPr>
          <w:rFonts w:hint="eastAsia" w:ascii="宋体" w:hAnsi="宋体" w:eastAsia="仿宋_GB2312" w:cs="仿宋_GB2312"/>
          <w:color w:val="000000"/>
          <w:kern w:val="0"/>
          <w:sz w:val="32"/>
          <w:szCs w:val="32"/>
          <w:lang w:eastAsia="zh-CN"/>
        </w:rPr>
        <w:t>特别是落实党中央、国务院要求推动职业教育改革创新情况</w:t>
      </w:r>
      <w:r>
        <w:rPr>
          <w:rFonts w:hint="eastAsia" w:ascii="宋体" w:hAnsi="宋体" w:eastAsia="仿宋_GB2312" w:cs="仿宋_GB2312"/>
          <w:color w:val="000000"/>
          <w:kern w:val="0"/>
          <w:sz w:val="32"/>
          <w:szCs w:val="32"/>
        </w:rPr>
        <w:t>和资金安排计划，绩效指标要指向明确、细化量化、合理可行、相应匹配。</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第十</w:t>
      </w:r>
      <w:r>
        <w:rPr>
          <w:rFonts w:hint="eastAsia" w:ascii="宋体" w:hAnsi="宋体" w:eastAsia="黑体" w:cs="Times New Roman"/>
          <w:sz w:val="32"/>
          <w:szCs w:val="32"/>
          <w:lang w:eastAsia="zh-CN"/>
        </w:rPr>
        <w:t>三</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财政部于每年全国人民代表大会批准中央预算后三十日内，会同教育部正式下达提升计划资金预算，并按规定做好预算公开。每年</w:t>
      </w:r>
      <w:r>
        <w:rPr>
          <w:rFonts w:ascii="宋体" w:hAnsi="宋体" w:eastAsia="仿宋_GB2312" w:cs="Times New Roman"/>
          <w:color w:val="000000"/>
          <w:kern w:val="0"/>
          <w:sz w:val="32"/>
          <w:szCs w:val="32"/>
        </w:rPr>
        <w:t>10</w:t>
      </w:r>
      <w:r>
        <w:rPr>
          <w:rFonts w:hint="eastAsia" w:ascii="宋体" w:hAnsi="宋体" w:eastAsia="仿宋_GB2312" w:cs="仿宋_GB2312"/>
          <w:color w:val="000000"/>
          <w:kern w:val="0"/>
          <w:sz w:val="32"/>
          <w:szCs w:val="32"/>
        </w:rPr>
        <w:t>月</w:t>
      </w:r>
      <w:r>
        <w:rPr>
          <w:rFonts w:ascii="宋体" w:hAnsi="宋体" w:eastAsia="仿宋_GB2312" w:cs="Times New Roman"/>
          <w:color w:val="000000"/>
          <w:kern w:val="0"/>
          <w:sz w:val="32"/>
          <w:szCs w:val="32"/>
        </w:rPr>
        <w:t>31</w:t>
      </w:r>
      <w:r>
        <w:rPr>
          <w:rFonts w:hint="eastAsia" w:ascii="宋体" w:hAnsi="宋体" w:eastAsia="仿宋_GB2312" w:cs="仿宋_GB2312"/>
          <w:color w:val="000000"/>
          <w:kern w:val="0"/>
          <w:sz w:val="32"/>
          <w:szCs w:val="32"/>
        </w:rPr>
        <w:t>日前，提前下达下一年度提升计划资金预计数。省级财政部门在收到提升计划资金预算后，应当会同教育部门在三十日内按照预算级次合理分配、及时下达提升计划资金预算和绩效目标，并抄送财政部当地监管局。</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第十</w:t>
      </w:r>
      <w:r>
        <w:rPr>
          <w:rFonts w:hint="eastAsia" w:ascii="宋体" w:hAnsi="宋体" w:eastAsia="黑体" w:cs="Times New Roman"/>
          <w:sz w:val="32"/>
          <w:szCs w:val="32"/>
          <w:lang w:eastAsia="zh-CN"/>
        </w:rPr>
        <w:t>四</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提升计划资金支付执行国库集中支付制度。涉及政府采购的，按照政府采购法律法规和有关制度执行。属于基本建设的项目，落实相关建设标准和要求，严禁超标准建设和豪华建设，并确保工程质量。年度未支出的提升计划资金，按照财政部结转结余资金管理有关规定执行。</w:t>
      </w:r>
    </w:p>
    <w:p>
      <w:pPr>
        <w:widowControl/>
        <w:spacing w:line="600" w:lineRule="exact"/>
        <w:ind w:firstLine="640" w:firstLineChars="200"/>
        <w:rPr>
          <w:rFonts w:hint="eastAsia" w:ascii="宋体" w:hAnsi="宋体" w:eastAsia="仿宋_GB2312" w:cs="仿宋_GB2312"/>
          <w:color w:val="000000"/>
          <w:kern w:val="0"/>
          <w:sz w:val="32"/>
          <w:szCs w:val="32"/>
        </w:rPr>
      </w:pPr>
      <w:r>
        <w:rPr>
          <w:rFonts w:hint="eastAsia" w:ascii="宋体" w:hAnsi="宋体" w:eastAsia="黑体" w:cs="Times New Roman"/>
          <w:sz w:val="32"/>
          <w:szCs w:val="32"/>
        </w:rPr>
        <w:t>第十</w:t>
      </w:r>
      <w:r>
        <w:rPr>
          <w:rFonts w:hint="eastAsia" w:ascii="宋体" w:hAnsi="宋体" w:eastAsia="黑体" w:cs="Times New Roman"/>
          <w:sz w:val="32"/>
          <w:szCs w:val="32"/>
          <w:lang w:eastAsia="zh-CN"/>
        </w:rPr>
        <w:t>五</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省级财政、教育部门在分配提升计划资金时，应当结合本地区年度重点工作和</w:t>
      </w:r>
      <w:r>
        <w:rPr>
          <w:rFonts w:hint="eastAsia" w:ascii="宋体" w:hAnsi="宋体" w:eastAsia="仿宋_GB2312" w:cs="仿宋_GB2312"/>
          <w:color w:val="000000"/>
          <w:kern w:val="0"/>
          <w:sz w:val="32"/>
          <w:szCs w:val="32"/>
          <w:lang w:eastAsia="zh-CN"/>
        </w:rPr>
        <w:t>本级预算安排</w:t>
      </w:r>
      <w:r>
        <w:rPr>
          <w:rFonts w:hint="eastAsia" w:ascii="宋体" w:hAnsi="宋体" w:eastAsia="仿宋_GB2312" w:cs="仿宋_GB2312"/>
          <w:color w:val="000000"/>
          <w:kern w:val="0"/>
          <w:sz w:val="32"/>
          <w:szCs w:val="32"/>
        </w:rPr>
        <w:t>，加大省级统筹力度，注重提高投入效益，防止项目过于分散，并向边远、民族、脱贫地区以及主要经济带等区域经济重点发展地区倾斜，结合实际向现代农业、先进制造业、现代服务业、战略性新兴产业等国家</w:t>
      </w:r>
      <w:r>
        <w:rPr>
          <w:rFonts w:hint="eastAsia" w:ascii="宋体" w:hAnsi="宋体" w:eastAsia="仿宋_GB2312" w:cs="仿宋_GB2312"/>
          <w:color w:val="000000"/>
          <w:kern w:val="0"/>
          <w:sz w:val="32"/>
          <w:szCs w:val="32"/>
          <w:lang w:eastAsia="zh-CN"/>
        </w:rPr>
        <w:t>或地方</w:t>
      </w:r>
      <w:r>
        <w:rPr>
          <w:rFonts w:hint="eastAsia" w:ascii="宋体" w:hAnsi="宋体" w:eastAsia="仿宋_GB2312" w:cs="仿宋_GB2312"/>
          <w:color w:val="000000"/>
          <w:kern w:val="0"/>
          <w:sz w:val="32"/>
          <w:szCs w:val="32"/>
        </w:rPr>
        <w:t>急需特需专业，民族文化传承与创新方面的专业倾斜，</w:t>
      </w:r>
      <w:r>
        <w:rPr>
          <w:rFonts w:hint="eastAsia" w:ascii="宋体" w:hAnsi="宋体" w:eastAsia="仿宋_GB2312" w:cs="仿宋_GB2312"/>
          <w:color w:val="000000"/>
          <w:kern w:val="0"/>
          <w:sz w:val="32"/>
          <w:szCs w:val="32"/>
          <w:lang w:eastAsia="zh-CN"/>
        </w:rPr>
        <w:t>支持办好面向农村的职业教育</w:t>
      </w:r>
      <w:r>
        <w:rPr>
          <w:rFonts w:hint="eastAsia" w:ascii="宋体" w:hAnsi="宋体" w:eastAsia="仿宋_GB2312" w:cs="仿宋_GB2312"/>
          <w:color w:val="000000"/>
          <w:kern w:val="0"/>
          <w:sz w:val="32"/>
          <w:szCs w:val="32"/>
        </w:rPr>
        <w:t>。应当做好与发展改革部门安排基本建设项目等资金的统筹，防止资金、项目安排重复交叉。</w:t>
      </w:r>
    </w:p>
    <w:p>
      <w:pPr>
        <w:widowControl/>
        <w:spacing w:line="600" w:lineRule="exact"/>
        <w:ind w:firstLine="640" w:firstLineChars="200"/>
        <w:rPr>
          <w:rFonts w:hint="eastAsia" w:ascii="宋体" w:hAnsi="宋体" w:eastAsia="仿宋_GB2312" w:cs="仿宋_GB2312"/>
          <w:color w:val="000000"/>
          <w:kern w:val="0"/>
          <w:sz w:val="32"/>
          <w:szCs w:val="32"/>
        </w:rPr>
      </w:pPr>
      <w:r>
        <w:rPr>
          <w:rFonts w:hint="eastAsia" w:ascii="宋体" w:hAnsi="宋体" w:eastAsia="黑体" w:cs="黑体"/>
          <w:color w:val="000000"/>
          <w:kern w:val="0"/>
          <w:sz w:val="32"/>
          <w:szCs w:val="32"/>
          <w:lang w:eastAsia="zh-CN"/>
        </w:rPr>
        <w:t>第十六条</w:t>
      </w:r>
      <w:r>
        <w:rPr>
          <w:rFonts w:hint="eastAsia" w:ascii="宋体" w:hAnsi="宋体" w:eastAsia="仿宋_GB2312" w:cs="仿宋_GB2312"/>
          <w:color w:val="000000"/>
          <w:kern w:val="0"/>
          <w:sz w:val="32"/>
          <w:szCs w:val="32"/>
          <w:lang w:val="en-US" w:eastAsia="zh-CN"/>
        </w:rPr>
        <w:t xml:space="preserve"> </w:t>
      </w:r>
      <w:r>
        <w:rPr>
          <w:rFonts w:hint="eastAsia" w:ascii="宋体" w:hAnsi="宋体" w:eastAsia="仿宋_GB2312" w:cs="仿宋_GB2312"/>
          <w:color w:val="000000"/>
          <w:kern w:val="0"/>
          <w:sz w:val="32"/>
          <w:szCs w:val="32"/>
          <w:lang w:eastAsia="zh-CN"/>
        </w:rPr>
        <w:t>地方各级财政、教育部门应当落实新增教育经费向职业教育倾斜的要求，健全多渠道筹集职业教育经费的体制，综合运用各类政策手段，</w:t>
      </w:r>
      <w:r>
        <w:rPr>
          <w:rFonts w:hint="eastAsia" w:ascii="宋体" w:hAnsi="宋体" w:eastAsia="仿宋_GB2312" w:cs="仿宋_GB2312"/>
          <w:color w:val="000000"/>
          <w:kern w:val="0"/>
          <w:sz w:val="32"/>
          <w:szCs w:val="32"/>
        </w:rPr>
        <w:t>兼顾财政承受能力和政府债务风险防控要求，筹集更多资金用于</w:t>
      </w:r>
      <w:r>
        <w:rPr>
          <w:rFonts w:hint="eastAsia" w:ascii="宋体" w:hAnsi="宋体" w:eastAsia="仿宋_GB2312" w:cs="仿宋_GB2312"/>
          <w:color w:val="000000"/>
          <w:kern w:val="0"/>
          <w:sz w:val="32"/>
          <w:szCs w:val="32"/>
          <w:lang w:eastAsia="zh-CN"/>
        </w:rPr>
        <w:t>职业教育发展</w:t>
      </w:r>
      <w:r>
        <w:rPr>
          <w:rFonts w:hint="eastAsia" w:ascii="宋体" w:hAnsi="宋体" w:eastAsia="仿宋_GB2312" w:cs="仿宋_GB2312"/>
          <w:color w:val="000000"/>
          <w:kern w:val="0"/>
          <w:sz w:val="32"/>
          <w:szCs w:val="32"/>
        </w:rPr>
        <w:t>。</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第十</w:t>
      </w:r>
      <w:r>
        <w:rPr>
          <w:rFonts w:hint="eastAsia" w:ascii="宋体" w:hAnsi="宋体" w:eastAsia="黑体" w:cs="Times New Roman"/>
          <w:sz w:val="32"/>
          <w:szCs w:val="32"/>
          <w:lang w:eastAsia="zh-CN"/>
        </w:rPr>
        <w:t>七</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地方各级财政、教育部门应当按照全面实施预算绩效管理的要求，建立健全预算绩效管理机制，按规定科学合理设定绩效目标，对照绩效目标做好绩效监控、绩效评价，强化评价结果运用，做好绩效信息公开，提高资金配置效率和使用效益。财政部、教育部根据工作需要适时组织开展提升计划资金绩效评价，将评价结果作为预算安排、完善政策、改进管理的重要依据。</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第十</w:t>
      </w:r>
      <w:r>
        <w:rPr>
          <w:rFonts w:hint="eastAsia" w:ascii="宋体" w:hAnsi="宋体" w:eastAsia="黑体" w:cs="Times New Roman"/>
          <w:sz w:val="32"/>
          <w:szCs w:val="32"/>
          <w:lang w:eastAsia="zh-CN"/>
        </w:rPr>
        <w:t>八</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职业院校应当健全预算管理制度，细化预算编制，严格预算执行；规范学校财务管理，</w:t>
      </w:r>
      <w:r>
        <w:rPr>
          <w:rFonts w:hint="eastAsia" w:ascii="宋体" w:hAnsi="宋体" w:eastAsia="仿宋_GB2312" w:cs="仿宋_GB2312"/>
          <w:color w:val="000000"/>
          <w:kern w:val="0"/>
          <w:sz w:val="32"/>
          <w:szCs w:val="32"/>
          <w:lang w:eastAsia="zh-CN"/>
        </w:rPr>
        <w:t>加强国有资产管理，</w:t>
      </w:r>
      <w:r>
        <w:rPr>
          <w:rFonts w:hint="eastAsia" w:ascii="宋体" w:hAnsi="宋体" w:eastAsia="仿宋_GB2312" w:cs="仿宋_GB2312"/>
          <w:color w:val="000000"/>
          <w:kern w:val="0"/>
          <w:sz w:val="32"/>
          <w:szCs w:val="32"/>
        </w:rPr>
        <w:t>完善内部经费管理办法，健全内部控制制度，确保资金使用安全、规范和高效。</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第十</w:t>
      </w:r>
      <w:r>
        <w:rPr>
          <w:rFonts w:hint="eastAsia" w:ascii="宋体" w:hAnsi="宋体" w:eastAsia="黑体" w:cs="Times New Roman"/>
          <w:sz w:val="32"/>
          <w:szCs w:val="32"/>
          <w:lang w:eastAsia="zh-CN"/>
        </w:rPr>
        <w:t>九</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提升计划资金应当按照规定安排使用，建立“谁使用、谁负责”的责任机制。严禁将提升计划资金用于平衡预算、偿还债务、支付利息、对外投资等支出，不得从提升计划资金中提取工作经费或管理经费。财政部各地监管局应当按照工作职责和财政部要求，对提升计划资金实施监管。</w:t>
      </w:r>
    </w:p>
    <w:p>
      <w:pPr>
        <w:widowControl/>
        <w:spacing w:line="600" w:lineRule="exact"/>
        <w:ind w:firstLine="640" w:firstLineChars="200"/>
        <w:rPr>
          <w:rFonts w:hint="eastAsia" w:ascii="宋体" w:hAnsi="宋体" w:eastAsia="仿宋_GB2312" w:cs="Times New Roman"/>
          <w:sz w:val="32"/>
          <w:szCs w:val="32"/>
        </w:rPr>
      </w:pPr>
      <w:r>
        <w:rPr>
          <w:rFonts w:hint="eastAsia" w:ascii="宋体" w:hAnsi="宋体" w:eastAsia="黑体" w:cs="Times New Roman"/>
          <w:sz w:val="32"/>
          <w:szCs w:val="32"/>
        </w:rPr>
        <w:t>第</w:t>
      </w:r>
      <w:r>
        <w:rPr>
          <w:rFonts w:hint="eastAsia" w:ascii="宋体" w:hAnsi="宋体" w:eastAsia="黑体" w:cs="Times New Roman"/>
          <w:sz w:val="32"/>
          <w:szCs w:val="32"/>
          <w:lang w:eastAsia="zh-CN"/>
        </w:rPr>
        <w:t>二</w:t>
      </w:r>
      <w:r>
        <w:rPr>
          <w:rFonts w:hint="eastAsia" w:ascii="宋体" w:hAnsi="宋体" w:eastAsia="黑体" w:cs="Times New Roman"/>
          <w:sz w:val="32"/>
          <w:szCs w:val="32"/>
        </w:rPr>
        <w:t xml:space="preserve">十条 </w:t>
      </w:r>
      <w:r>
        <w:rPr>
          <w:rFonts w:hint="eastAsia" w:ascii="宋体" w:hAnsi="宋体" w:eastAsia="仿宋_GB2312" w:cs="Times New Roman"/>
          <w:sz w:val="32"/>
          <w:szCs w:val="32"/>
        </w:rPr>
        <w:t>各级财政、教育部门及其工作人员在提升计划资金分配和使用过程中存在违反本办法规定，以及其他滥用职权、玩忽职守、徇私舞弊等违法违规行为的，依法责令改正，对负有责任的领导人员和直接责任人员依法给予处分；涉嫌犯罪的，依法移送有关机关处理。</w:t>
      </w:r>
    </w:p>
    <w:p>
      <w:pPr>
        <w:widowControl/>
        <w:spacing w:line="600" w:lineRule="exact"/>
        <w:ind w:firstLine="640" w:firstLineChars="200"/>
        <w:rPr>
          <w:rFonts w:hint="eastAsia" w:ascii="宋体" w:hAnsi="宋体" w:eastAsia="仿宋_GB2312" w:cs="Times New Roman"/>
          <w:sz w:val="32"/>
          <w:szCs w:val="32"/>
        </w:rPr>
      </w:pPr>
      <w:r>
        <w:rPr>
          <w:rFonts w:hint="eastAsia" w:ascii="宋体" w:hAnsi="宋体" w:eastAsia="黑体" w:cs="黑体"/>
          <w:sz w:val="32"/>
          <w:szCs w:val="32"/>
          <w:lang w:eastAsia="zh-CN"/>
        </w:rPr>
        <w:t>第二十一条</w:t>
      </w:r>
      <w:r>
        <w:rPr>
          <w:rFonts w:hint="eastAsia" w:ascii="宋体" w:hAnsi="宋体" w:eastAsia="仿宋_GB2312" w:cs="Times New Roman"/>
          <w:sz w:val="32"/>
          <w:szCs w:val="32"/>
          <w:lang w:val="en-US" w:eastAsia="zh-CN"/>
        </w:rPr>
        <w:t xml:space="preserve"> </w:t>
      </w:r>
      <w:r>
        <w:rPr>
          <w:rFonts w:hint="eastAsia" w:ascii="宋体" w:hAnsi="宋体" w:eastAsia="仿宋_GB2312" w:cs="Times New Roman"/>
          <w:sz w:val="32"/>
          <w:szCs w:val="32"/>
        </w:rPr>
        <w:t>申报使用提升计划资金的部门、单位及个人在资金申报、使用过程中存在违法违规行为的，依照《中华人民共和国预算法》及其实施条例、《财政违法行为处罚处分条例》等国家有关规定追究相应责任；涉嫌犯罪的，依法移送有关机关处理。</w:t>
      </w:r>
    </w:p>
    <w:p>
      <w:pPr>
        <w:widowControl/>
        <w:spacing w:line="600" w:lineRule="exact"/>
        <w:ind w:firstLine="640" w:firstLineChars="200"/>
        <w:rPr>
          <w:rFonts w:ascii="宋体" w:hAnsi="宋体" w:eastAsia="仿宋_GB2312" w:cs="仿宋_GB2312"/>
          <w:color w:val="000000"/>
          <w:kern w:val="0"/>
          <w:sz w:val="32"/>
          <w:szCs w:val="32"/>
        </w:rPr>
      </w:pPr>
      <w:r>
        <w:rPr>
          <w:rFonts w:hint="eastAsia" w:ascii="宋体" w:hAnsi="宋体" w:eastAsia="黑体" w:cs="Times New Roman"/>
          <w:sz w:val="32"/>
          <w:szCs w:val="32"/>
        </w:rPr>
        <w:t>第二十</w:t>
      </w:r>
      <w:r>
        <w:rPr>
          <w:rFonts w:hint="eastAsia" w:ascii="宋体" w:hAnsi="宋体" w:eastAsia="黑体" w:cs="Times New Roman"/>
          <w:sz w:val="32"/>
          <w:szCs w:val="32"/>
          <w:lang w:eastAsia="zh-CN"/>
        </w:rPr>
        <w:t>二</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本办法由财政部、教育部负责解释。各省级财政、教育部门可根据本办法，结合各地实际，制定具体管理办法，并抄送财政部当地监管局。</w:t>
      </w:r>
    </w:p>
    <w:p>
      <w:pPr>
        <w:widowControl/>
        <w:spacing w:line="600" w:lineRule="exact"/>
        <w:ind w:firstLine="640" w:firstLineChars="200"/>
        <w:rPr>
          <w:rFonts w:ascii="宋体" w:hAnsi="宋体" w:eastAsia="宋体"/>
        </w:rPr>
      </w:pPr>
      <w:r>
        <w:rPr>
          <w:rFonts w:hint="eastAsia" w:ascii="宋体" w:hAnsi="宋体" w:eastAsia="黑体" w:cs="Times New Roman"/>
          <w:sz w:val="32"/>
          <w:szCs w:val="32"/>
        </w:rPr>
        <w:t>第二十</w:t>
      </w:r>
      <w:r>
        <w:rPr>
          <w:rFonts w:hint="eastAsia" w:ascii="宋体" w:hAnsi="宋体" w:eastAsia="黑体" w:cs="Times New Roman"/>
          <w:sz w:val="32"/>
          <w:szCs w:val="32"/>
          <w:lang w:eastAsia="zh-CN"/>
        </w:rPr>
        <w:t>三</w:t>
      </w:r>
      <w:r>
        <w:rPr>
          <w:rFonts w:hint="eastAsia" w:ascii="宋体" w:hAnsi="宋体" w:eastAsia="黑体" w:cs="Times New Roman"/>
          <w:sz w:val="32"/>
          <w:szCs w:val="32"/>
        </w:rPr>
        <w:t xml:space="preserve">条 </w:t>
      </w:r>
      <w:r>
        <w:rPr>
          <w:rFonts w:hint="eastAsia" w:ascii="宋体" w:hAnsi="宋体" w:eastAsia="仿宋_GB2312" w:cs="仿宋_GB2312"/>
          <w:color w:val="000000"/>
          <w:kern w:val="0"/>
          <w:sz w:val="32"/>
          <w:szCs w:val="32"/>
        </w:rPr>
        <w:t>本办法自</w:t>
      </w:r>
      <w:r>
        <w:rPr>
          <w:rFonts w:ascii="宋体" w:hAnsi="宋体" w:eastAsia="仿宋_GB2312" w:cs="Times New Roman"/>
          <w:color w:val="000000"/>
          <w:kern w:val="0"/>
          <w:sz w:val="32"/>
          <w:szCs w:val="32"/>
        </w:rPr>
        <w:t>2022</w:t>
      </w:r>
      <w:r>
        <w:rPr>
          <w:rFonts w:hint="eastAsia" w:ascii="宋体" w:hAnsi="宋体" w:eastAsia="仿宋_GB2312" w:cs="仿宋_GB2312"/>
          <w:color w:val="000000"/>
          <w:kern w:val="0"/>
          <w:sz w:val="32"/>
          <w:szCs w:val="32"/>
        </w:rPr>
        <w:t>年</w:t>
      </w:r>
      <w:r>
        <w:rPr>
          <w:rFonts w:ascii="宋体" w:hAnsi="宋体" w:eastAsia="仿宋_GB2312" w:cs="Times New Roman"/>
          <w:color w:val="000000"/>
          <w:kern w:val="0"/>
          <w:sz w:val="32"/>
          <w:szCs w:val="32"/>
        </w:rPr>
        <w:t>1</w:t>
      </w:r>
      <w:r>
        <w:rPr>
          <w:rFonts w:hint="eastAsia" w:ascii="宋体" w:hAnsi="宋体" w:eastAsia="仿宋_GB2312" w:cs="仿宋_GB2312"/>
          <w:color w:val="000000"/>
          <w:kern w:val="0"/>
          <w:sz w:val="32"/>
          <w:szCs w:val="32"/>
        </w:rPr>
        <w:t>月</w:t>
      </w:r>
      <w:r>
        <w:rPr>
          <w:rFonts w:ascii="宋体" w:hAnsi="宋体" w:eastAsia="仿宋_GB2312" w:cs="Times New Roman"/>
          <w:color w:val="000000"/>
          <w:kern w:val="0"/>
          <w:sz w:val="32"/>
          <w:szCs w:val="32"/>
        </w:rPr>
        <w:t>1</w:t>
      </w:r>
      <w:r>
        <w:rPr>
          <w:rFonts w:hint="eastAsia" w:ascii="宋体" w:hAnsi="宋体" w:eastAsia="仿宋_GB2312" w:cs="仿宋_GB2312"/>
          <w:color w:val="000000"/>
          <w:kern w:val="0"/>
          <w:sz w:val="32"/>
          <w:szCs w:val="32"/>
        </w:rPr>
        <w:t>日起施行。《财政部</w:t>
      </w:r>
      <w:r>
        <w:rPr>
          <w:rFonts w:hint="eastAsia" w:ascii="宋体" w:hAnsi="宋体" w:eastAsia="仿宋_GB2312" w:cs="仿宋_GB2312"/>
          <w:color w:val="000000"/>
          <w:kern w:val="0"/>
          <w:sz w:val="32"/>
          <w:szCs w:val="32"/>
          <w:lang w:val="en-US" w:eastAsia="zh-CN"/>
        </w:rPr>
        <w:t xml:space="preserve"> </w:t>
      </w:r>
      <w:r>
        <w:rPr>
          <w:rFonts w:hint="eastAsia" w:ascii="宋体" w:hAnsi="宋体" w:eastAsia="仿宋_GB2312" w:cs="仿宋_GB2312"/>
          <w:color w:val="000000"/>
          <w:kern w:val="0"/>
          <w:sz w:val="32"/>
          <w:szCs w:val="32"/>
        </w:rPr>
        <w:t>教育部关于印发&lt;现代职业教育质量提升计划资金管理办法&gt;的通知》（财教〔</w:t>
      </w:r>
      <w:r>
        <w:rPr>
          <w:rFonts w:ascii="宋体" w:hAnsi="宋体" w:eastAsia="仿宋_GB2312" w:cs="Times New Roman"/>
          <w:color w:val="000000"/>
          <w:kern w:val="0"/>
          <w:sz w:val="32"/>
          <w:szCs w:val="32"/>
        </w:rPr>
        <w:t>2019</w:t>
      </w:r>
      <w:r>
        <w:rPr>
          <w:rFonts w:hint="eastAsia" w:ascii="宋体" w:hAnsi="宋体" w:eastAsia="仿宋_GB2312" w:cs="仿宋_GB2312"/>
          <w:color w:val="000000"/>
          <w:kern w:val="0"/>
          <w:sz w:val="32"/>
          <w:szCs w:val="32"/>
        </w:rPr>
        <w:t>〕</w:t>
      </w:r>
      <w:r>
        <w:rPr>
          <w:rFonts w:ascii="宋体" w:hAnsi="宋体" w:eastAsia="仿宋_GB2312" w:cs="Times New Roman"/>
          <w:color w:val="000000"/>
          <w:kern w:val="0"/>
          <w:sz w:val="32"/>
          <w:szCs w:val="32"/>
        </w:rPr>
        <w:t>258</w:t>
      </w:r>
      <w:r>
        <w:rPr>
          <w:rFonts w:hint="eastAsia" w:ascii="宋体" w:hAnsi="宋体" w:eastAsia="仿宋_GB2312" w:cs="仿宋_GB2312"/>
          <w:color w:val="000000"/>
          <w:kern w:val="0"/>
          <w:sz w:val="32"/>
          <w:szCs w:val="32"/>
        </w:rPr>
        <w:t>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8CF3C52" w:usb2="00000016" w:usb3="00000000" w:csb0="0004001F" w:csb1="00000000"/>
  </w:font>
  <w:font w:name="Meiryo UI">
    <w:panose1 w:val="020B0604030504040204"/>
    <w:charset w:val="80"/>
    <w:family w:val="auto"/>
    <w:pitch w:val="default"/>
    <w:sig w:usb0="E10102FF" w:usb1="EAC7FFFF" w:usb2="00010012" w:usb3="00000000" w:csb0="6002009F" w:csb1="DFD70000"/>
  </w:font>
  <w:font w:name="Microsoft Uighur">
    <w:panose1 w:val="02000000000000000000"/>
    <w:charset w:val="00"/>
    <w:family w:val="auto"/>
    <w:pitch w:val="default"/>
    <w:sig w:usb0="80002023" w:usb1="80000002" w:usb2="00000008" w:usb3="00000000" w:csb0="00000041"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7964445"/>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0412A"/>
    <w:rsid w:val="000715BF"/>
    <w:rsid w:val="001205CE"/>
    <w:rsid w:val="001A5086"/>
    <w:rsid w:val="00227C2D"/>
    <w:rsid w:val="00247E77"/>
    <w:rsid w:val="002B374D"/>
    <w:rsid w:val="00320436"/>
    <w:rsid w:val="00326F6F"/>
    <w:rsid w:val="00331063"/>
    <w:rsid w:val="003A155E"/>
    <w:rsid w:val="003D7B37"/>
    <w:rsid w:val="003E2485"/>
    <w:rsid w:val="003E5D6F"/>
    <w:rsid w:val="003F52CC"/>
    <w:rsid w:val="00424ED7"/>
    <w:rsid w:val="00440B0B"/>
    <w:rsid w:val="00457BEF"/>
    <w:rsid w:val="004D75EE"/>
    <w:rsid w:val="004F19AF"/>
    <w:rsid w:val="00525EEF"/>
    <w:rsid w:val="00646700"/>
    <w:rsid w:val="00676FEC"/>
    <w:rsid w:val="00750094"/>
    <w:rsid w:val="00753CE7"/>
    <w:rsid w:val="007747FE"/>
    <w:rsid w:val="007845F3"/>
    <w:rsid w:val="00787868"/>
    <w:rsid w:val="007E4533"/>
    <w:rsid w:val="007E4C28"/>
    <w:rsid w:val="00805145"/>
    <w:rsid w:val="00810DC5"/>
    <w:rsid w:val="009112F4"/>
    <w:rsid w:val="00913D6F"/>
    <w:rsid w:val="00941014"/>
    <w:rsid w:val="009D7877"/>
    <w:rsid w:val="00A1219A"/>
    <w:rsid w:val="00A25156"/>
    <w:rsid w:val="00A32167"/>
    <w:rsid w:val="00B05610"/>
    <w:rsid w:val="00B32C41"/>
    <w:rsid w:val="00B51FD7"/>
    <w:rsid w:val="00B53F31"/>
    <w:rsid w:val="00B61EA3"/>
    <w:rsid w:val="00BA6CFA"/>
    <w:rsid w:val="00BE5454"/>
    <w:rsid w:val="00BF4E9D"/>
    <w:rsid w:val="00C24154"/>
    <w:rsid w:val="00C90146"/>
    <w:rsid w:val="00D80C9B"/>
    <w:rsid w:val="00D96ED8"/>
    <w:rsid w:val="00DC31EB"/>
    <w:rsid w:val="00DD5420"/>
    <w:rsid w:val="00E45A84"/>
    <w:rsid w:val="00EA6C38"/>
    <w:rsid w:val="00EC0137"/>
    <w:rsid w:val="00F35831"/>
    <w:rsid w:val="00F3786A"/>
    <w:rsid w:val="00FA03D4"/>
    <w:rsid w:val="00FD51EE"/>
    <w:rsid w:val="00FF0EC3"/>
    <w:rsid w:val="02BB5ECF"/>
    <w:rsid w:val="07BA3F4A"/>
    <w:rsid w:val="0F73B880"/>
    <w:rsid w:val="10D1338D"/>
    <w:rsid w:val="1FE5E5F0"/>
    <w:rsid w:val="2AB0412A"/>
    <w:rsid w:val="2F5D85F4"/>
    <w:rsid w:val="3DBD2AAE"/>
    <w:rsid w:val="47BFE8F2"/>
    <w:rsid w:val="57F79406"/>
    <w:rsid w:val="5D47E6A9"/>
    <w:rsid w:val="5E7B1F4E"/>
    <w:rsid w:val="62BFF68A"/>
    <w:rsid w:val="67DDB754"/>
    <w:rsid w:val="6A9D6D4B"/>
    <w:rsid w:val="6DBDE60D"/>
    <w:rsid w:val="6E3DCEE9"/>
    <w:rsid w:val="71A00B90"/>
    <w:rsid w:val="72EFE259"/>
    <w:rsid w:val="76CFB762"/>
    <w:rsid w:val="76F30F15"/>
    <w:rsid w:val="797DA24F"/>
    <w:rsid w:val="7AF42745"/>
    <w:rsid w:val="7E1EF384"/>
    <w:rsid w:val="7EDBA05A"/>
    <w:rsid w:val="7EFB2764"/>
    <w:rsid w:val="7F9D4E9B"/>
    <w:rsid w:val="7FCF58BB"/>
    <w:rsid w:val="7FDBEB76"/>
    <w:rsid w:val="7FE9182E"/>
    <w:rsid w:val="7FEE9AC8"/>
    <w:rsid w:val="7FFDE339"/>
    <w:rsid w:val="7FFFAE9E"/>
    <w:rsid w:val="97AB20F2"/>
    <w:rsid w:val="B42F7A52"/>
    <w:rsid w:val="B67BE16A"/>
    <w:rsid w:val="BAFFE560"/>
    <w:rsid w:val="BB3FADCC"/>
    <w:rsid w:val="BCCB7CBC"/>
    <w:rsid w:val="BF7B9B1B"/>
    <w:rsid w:val="BFFFFE3A"/>
    <w:rsid w:val="CEFF4C30"/>
    <w:rsid w:val="D5FF9573"/>
    <w:rsid w:val="DFBB9C3E"/>
    <w:rsid w:val="EDFD8DA5"/>
    <w:rsid w:val="EE7701D8"/>
    <w:rsid w:val="EEDE3640"/>
    <w:rsid w:val="EFD8FC40"/>
    <w:rsid w:val="F56BAD5E"/>
    <w:rsid w:val="F7DF2B4B"/>
    <w:rsid w:val="F8FD4723"/>
    <w:rsid w:val="F9EF053D"/>
    <w:rsid w:val="FACBA130"/>
    <w:rsid w:val="FB7DCBCA"/>
    <w:rsid w:val="FD5B6B8B"/>
    <w:rsid w:val="FDFD0C03"/>
    <w:rsid w:val="FE771CCF"/>
    <w:rsid w:val="FF7D4B28"/>
    <w:rsid w:val="FFB7EE48"/>
    <w:rsid w:val="FFBFFA73"/>
    <w:rsid w:val="FFE8B85B"/>
    <w:rsid w:val="FFFEE2EA"/>
    <w:rsid w:val="FFFF10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after="90" w:line="576" w:lineRule="auto"/>
      <w:outlineLvl w:val="0"/>
    </w:pPr>
    <w:rPr>
      <w:rFonts w:ascii="Times New Roman" w:hAnsi="Times New Roman" w:eastAsia="仿宋_GB2312"/>
      <w:b/>
      <w:kern w:val="44"/>
      <w:sz w:val="32"/>
      <w:szCs w:val="21"/>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0"/>
    <w:pPr>
      <w:jc w:val="left"/>
    </w:pPr>
  </w:style>
  <w:style w:type="paragraph" w:styleId="5">
    <w:name w:val="Balloon Text"/>
    <w:basedOn w:val="1"/>
    <w:link w:val="15"/>
    <w:semiHidden/>
    <w:unhideWhenUsed/>
    <w:qFormat/>
    <w:uiPriority w:val="0"/>
    <w:rPr>
      <w:rFonts w:ascii="宋体" w:eastAsia="宋体"/>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样式3"/>
    <w:basedOn w:val="3"/>
    <w:next w:val="1"/>
    <w:qFormat/>
    <w:uiPriority w:val="0"/>
    <w:rPr>
      <w:rFonts w:eastAsia="楷体_GB2312" w:asciiTheme="minorHAnsi" w:hAnsiTheme="minorHAnsi" w:cstheme="majorBidi"/>
      <w:bCs/>
      <w:szCs w:val="32"/>
    </w:rPr>
  </w:style>
  <w:style w:type="character" w:customStyle="1" w:styleId="13">
    <w:name w:val="页眉字符"/>
    <w:basedOn w:val="10"/>
    <w:link w:val="7"/>
    <w:qFormat/>
    <w:uiPriority w:val="0"/>
    <w:rPr>
      <w:rFonts w:asciiTheme="minorHAnsi" w:hAnsiTheme="minorHAnsi" w:eastAsiaTheme="minorEastAsia" w:cstheme="minorBidi"/>
      <w:kern w:val="2"/>
      <w:sz w:val="18"/>
      <w:szCs w:val="18"/>
    </w:rPr>
  </w:style>
  <w:style w:type="character" w:customStyle="1" w:styleId="14">
    <w:name w:val="页脚字符"/>
    <w:basedOn w:val="10"/>
    <w:link w:val="6"/>
    <w:qFormat/>
    <w:uiPriority w:val="99"/>
    <w:rPr>
      <w:rFonts w:asciiTheme="minorHAnsi" w:hAnsiTheme="minorHAnsi" w:eastAsiaTheme="minorEastAsia" w:cstheme="minorBidi"/>
      <w:kern w:val="2"/>
      <w:sz w:val="18"/>
      <w:szCs w:val="18"/>
    </w:rPr>
  </w:style>
  <w:style w:type="character" w:customStyle="1" w:styleId="15">
    <w:name w:val="批注框文本字符"/>
    <w:basedOn w:val="10"/>
    <w:link w:val="5"/>
    <w:semiHidden/>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520</Words>
  <Characters>2968</Characters>
  <Lines>24</Lines>
  <Paragraphs>6</Paragraphs>
  <TotalTime>84</TotalTime>
  <ScaleCrop>false</ScaleCrop>
  <LinksUpToDate>false</LinksUpToDate>
  <CharactersWithSpaces>3482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2021-08-22T11:47:00Z</dcterms:created>
  <dc:creator>谢伟</dc:creator>
  <cp:lastModifiedBy>123456</cp:lastModifiedBy>
  <cp:lastPrinted>2021-11-16T22:55:00Z</cp:lastPrinted>
  <dcterms:modified xsi:type="dcterms:W3CDTF">2021-12-02T00:35:15Z</dcterms:modified>
  <dc:title>现代职业教育质量提升计划资金管理办法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